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5331F3">
      <w:pPr>
        <w:spacing w:line="220" w:lineRule="atLeast"/>
        <w:rPr>
          <w:rFonts w:hint="default" w:ascii="黑体" w:hAnsi="黑体" w:eastAsia="黑体" w:cs="黑体"/>
          <w:sz w:val="30"/>
          <w:szCs w:val="30"/>
          <w:lang w:val="en-US" w:eastAsia="zh-CN"/>
        </w:rPr>
      </w:pPr>
      <w:r>
        <w:rPr>
          <w:rFonts w:hint="eastAsia" w:ascii="黑体" w:hAnsi="黑体" w:eastAsia="黑体" w:cs="黑体"/>
          <w:sz w:val="30"/>
          <w:szCs w:val="30"/>
          <w:lang w:val="en-US" w:eastAsia="zh-CN"/>
        </w:rPr>
        <w:t>附件2</w:t>
      </w:r>
    </w:p>
    <w:p w14:paraId="086F5E69">
      <w:pPr>
        <w:spacing w:line="220" w:lineRule="atLeast"/>
        <w:jc w:val="center"/>
        <w:rPr>
          <w:rFonts w:hint="eastAsia" w:ascii="方正小标宋简体" w:eastAsia="方正小标宋简体"/>
          <w:sz w:val="44"/>
          <w:szCs w:val="44"/>
        </w:rPr>
      </w:pPr>
      <w:bookmarkStart w:id="0" w:name="OLE_LINK10"/>
      <w:r>
        <w:rPr>
          <w:rFonts w:hint="eastAsia" w:ascii="方正小标宋简体" w:eastAsia="方正小标宋简体"/>
          <w:sz w:val="44"/>
          <w:szCs w:val="44"/>
          <w:lang w:val="en-US" w:eastAsia="zh-CN"/>
        </w:rPr>
        <w:t>第十一届全国青年科普创新实验暨作品大赛云南活动</w:t>
      </w:r>
    </w:p>
    <w:p w14:paraId="4A7CC490">
      <w:pPr>
        <w:spacing w:line="220" w:lineRule="atLeast"/>
        <w:jc w:val="center"/>
        <w:rPr>
          <w:rFonts w:hint="eastAsia" w:ascii="方正小标宋简体" w:eastAsia="方正小标宋简体"/>
          <w:sz w:val="30"/>
          <w:szCs w:val="30"/>
        </w:rPr>
      </w:pPr>
      <w:r>
        <w:rPr>
          <w:rFonts w:hint="eastAsia" w:ascii="方正小标宋简体" w:eastAsia="方正小标宋简体"/>
          <w:sz w:val="30"/>
          <w:szCs w:val="30"/>
          <w:lang w:val="en-US" w:eastAsia="zh-CN"/>
        </w:rPr>
        <w:t>创意作品——人机协作（大学组）</w:t>
      </w:r>
      <w:bookmarkEnd w:id="0"/>
      <w:r>
        <w:rPr>
          <w:rFonts w:hint="eastAsia" w:ascii="方正小标宋简体" w:eastAsia="方正小标宋简体"/>
          <w:sz w:val="30"/>
          <w:szCs w:val="30"/>
          <w:lang w:val="en-US" w:eastAsia="zh-CN"/>
        </w:rPr>
        <w:t>复选命题规则</w:t>
      </w:r>
    </w:p>
    <w:p w14:paraId="6293F251">
      <w:pPr>
        <w:pStyle w:val="2"/>
        <w:pageBreakBefore w:val="0"/>
        <w:widowControl/>
        <w:kinsoku/>
        <w:wordWrap/>
        <w:overflowPunct/>
        <w:topLinePunct w:val="0"/>
        <w:autoSpaceDE/>
        <w:autoSpaceDN/>
        <w:bidi w:val="0"/>
        <w:adjustRightInd w:val="0"/>
        <w:snapToGrid w:val="0"/>
        <w:spacing w:before="0" w:beforeLines="0" w:beforeAutospacing="0" w:afterAutospacing="0"/>
        <w:ind w:left="0" w:firstLine="482" w:firstLineChars="200"/>
        <w:textAlignment w:val="auto"/>
        <w:rPr>
          <w:rFonts w:hint="eastAsia" w:ascii="黑体" w:hAnsi="宋体" w:eastAsia="黑体" w:cs="黑体"/>
          <w:color w:val="000000"/>
          <w:kern w:val="2"/>
          <w:sz w:val="24"/>
          <w:szCs w:val="24"/>
        </w:rPr>
      </w:pPr>
    </w:p>
    <w:p w14:paraId="1BFCB92B">
      <w:pPr>
        <w:pStyle w:val="2"/>
        <w:pageBreakBefore w:val="0"/>
        <w:widowControl/>
        <w:kinsoku/>
        <w:wordWrap/>
        <w:overflowPunct/>
        <w:topLinePunct w:val="0"/>
        <w:autoSpaceDE/>
        <w:autoSpaceDN/>
        <w:bidi w:val="0"/>
        <w:adjustRightInd w:val="0"/>
        <w:snapToGrid w:val="0"/>
        <w:spacing w:before="0" w:beforeLines="0" w:beforeAutospacing="0" w:afterAutospacing="0"/>
        <w:ind w:left="0" w:firstLine="562" w:firstLineChars="200"/>
        <w:textAlignment w:val="auto"/>
        <w:rPr>
          <w:rFonts w:hint="default" w:ascii="黑体" w:hAnsi="宋体" w:eastAsia="黑体" w:cs="黑体"/>
          <w:color w:val="000000"/>
          <w:kern w:val="2"/>
          <w:sz w:val="28"/>
          <w:szCs w:val="28"/>
        </w:rPr>
      </w:pPr>
      <w:r>
        <w:rPr>
          <w:rFonts w:hint="eastAsia" w:ascii="黑体" w:hAnsi="宋体" w:eastAsia="黑体" w:cs="黑体"/>
          <w:color w:val="000000"/>
          <w:kern w:val="2"/>
          <w:sz w:val="28"/>
          <w:szCs w:val="28"/>
        </w:rPr>
        <w:t>一、命题背景</w:t>
      </w:r>
    </w:p>
    <w:p w14:paraId="17F4230B">
      <w:pPr>
        <w:keepNext w:val="0"/>
        <w:keepLines w:val="0"/>
        <w:widowControl w:val="0"/>
        <w:numPr>
          <w:ilvl w:val="0"/>
          <w:numId w:val="0"/>
        </w:numPr>
        <w:suppressLineNumbers w:val="0"/>
        <w:spacing w:before="0" w:beforeAutospacing="0" w:after="0" w:afterAutospacing="0" w:line="360" w:lineRule="auto"/>
        <w:ind w:right="0" w:rightChars="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人类正快速迈入人工智能时代，在未来人-机-物混合的大环境下，人机协作可充分融合人类智能和机器智能的不同特点，实现优势互补，更好地执行协同感知、决策与执行等任务。国务院印发的《新一代人工智能发展规划》指出“混合增强智能理论重点突破人机协同共融的情境理解与决策学习、直觉推理与因果模型、记忆与知识演化等理论，实现学习与思考接近或超过人类智能水平的混合增强智能。”“重点突破人机协同的感知与执行一体化模型、智能计算前移的新型传感器件、通用混合计算架构等核心技术，构建自主适应环境的混合增强智能系统、人机群组混合增强智能系统及支撑环境。”“人机协同将成为主流生产和服务方式。”</w:t>
      </w:r>
      <w:bookmarkStart w:id="1" w:name="OLE_LINK13"/>
    </w:p>
    <w:p w14:paraId="532E4124">
      <w:pPr>
        <w:keepNext w:val="0"/>
        <w:keepLines w:val="0"/>
        <w:widowControl w:val="0"/>
        <w:numPr>
          <w:ilvl w:val="0"/>
          <w:numId w:val="0"/>
        </w:numPr>
        <w:suppressLineNumbers w:val="0"/>
        <w:spacing w:before="0" w:beforeAutospacing="0" w:after="0" w:afterAutospacing="0" w:line="360" w:lineRule="auto"/>
        <w:ind w:right="0" w:rightChars="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本项目以“人机协作”为主题，旨在引导青年学生关注国计民生、前沿技术，鼓励学生通过调查研究，发现真实场景中的问题，积极投入到未来人机协作系统创意、设计与实现中，推动“人机协作”前沿技术在未来生产生活中的应用。</w:t>
      </w:r>
    </w:p>
    <w:bookmarkEnd w:id="1"/>
    <w:p w14:paraId="05852299">
      <w:pPr>
        <w:pStyle w:val="2"/>
        <w:pageBreakBefore w:val="0"/>
        <w:widowControl/>
        <w:kinsoku/>
        <w:wordWrap/>
        <w:overflowPunct/>
        <w:topLinePunct w:val="0"/>
        <w:autoSpaceDE/>
        <w:autoSpaceDN/>
        <w:bidi w:val="0"/>
        <w:adjustRightInd w:val="0"/>
        <w:snapToGrid w:val="0"/>
        <w:spacing w:before="0" w:beforeLines="0" w:beforeAutospacing="0" w:afterAutospacing="0"/>
        <w:ind w:left="0" w:firstLine="562" w:firstLineChars="200"/>
        <w:textAlignment w:val="auto"/>
        <w:rPr>
          <w:rFonts w:hint="default" w:ascii="Arial" w:hAnsi="Arial" w:eastAsia="黑体" w:cs="Arial"/>
          <w:color w:val="000000"/>
          <w:kern w:val="2"/>
          <w:sz w:val="28"/>
          <w:szCs w:val="28"/>
        </w:rPr>
      </w:pPr>
      <w:r>
        <w:rPr>
          <w:rFonts w:hint="eastAsia" w:ascii="黑体" w:hAnsi="宋体" w:eastAsia="黑体" w:cs="黑体"/>
          <w:color w:val="000000"/>
          <w:kern w:val="2"/>
          <w:sz w:val="28"/>
          <w:szCs w:val="28"/>
        </w:rPr>
        <w:t>二、命题内容</w:t>
      </w:r>
    </w:p>
    <w:p w14:paraId="51C42296">
      <w:pPr>
        <w:keepNext w:val="0"/>
        <w:keepLines w:val="0"/>
        <w:widowControl w:val="0"/>
        <w:numPr>
          <w:ilvl w:val="0"/>
          <w:numId w:val="0"/>
        </w:numPr>
        <w:suppressLineNumbers w:val="0"/>
        <w:spacing w:before="0" w:beforeAutospacing="0" w:after="0" w:afterAutospacing="0" w:line="360" w:lineRule="auto"/>
        <w:ind w:right="0" w:rightChars="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新一代信息技术、机器人技术的快速发展推动了未来人-机-物深度混合环境的形成。请同学们畅想未来“人机协作”会是什么样子的？如何实现？请在调查研究的基础上，大胆发挥想象力与创造力，从科学、技术、工程、人文和艺术的角度综合考虑，探索丰富的人机协作模式，设计智慧、安全、环保的人机协作设备、装置或系统。相关作品内容可以包括（但不限于）以下场景，同时鼓励基于对实际生产生活的观察和思考，创新场景应用。</w:t>
      </w:r>
    </w:p>
    <w:p w14:paraId="7CF2E7F5">
      <w:pPr>
        <w:keepNext w:val="0"/>
        <w:keepLines w:val="0"/>
        <w:widowControl w:val="0"/>
        <w:numPr>
          <w:ilvl w:val="0"/>
          <w:numId w:val="0"/>
        </w:numPr>
        <w:suppressLineNumbers w:val="0"/>
        <w:spacing w:before="0" w:beforeAutospacing="0" w:after="0" w:afterAutospacing="0" w:line="360" w:lineRule="auto"/>
        <w:ind w:right="0" w:rightChars="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场景1：面向自然探索与保护的人机协作。自然探索与保护对于地球生态和人类社会可持续发展至关重要。我国领土广袤，存在多样的地形地貌，蕴藏着丰富的自然资源，如草原、森林、农田、河流等。将人类经验、判断力与智能系统的数据采集、决策作业等能力相结合，可有效提高自然探索与保护行为的效率、持续性和安全性。通过创意设计相关作品，基于人机协作相关前沿技术，面向某一具体自然探索或保护问题提出有效解决方案。</w:t>
      </w:r>
    </w:p>
    <w:p w14:paraId="06DD7A3A">
      <w:pPr>
        <w:keepNext w:val="0"/>
        <w:keepLines w:val="0"/>
        <w:widowControl w:val="0"/>
        <w:numPr>
          <w:ilvl w:val="0"/>
          <w:numId w:val="0"/>
        </w:numPr>
        <w:suppressLineNumbers w:val="0"/>
        <w:spacing w:before="0" w:beforeAutospacing="0" w:after="0" w:afterAutospacing="0" w:line="360" w:lineRule="auto"/>
        <w:ind w:right="0" w:rightChars="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场景2：面向文化传承与交流的人机协作。中华民族文化历史悠久，多元包容，在当今世界中独树一帜。传统文化的风采镌刻在人们生活中的各处细节，如接人待物的礼节风俗、服饰装扮等。人机协作在促进优秀文化交流、传承与创新方面，可提供高效、多样的技术途径。通过创意设计相关作品，基于人机协作相关前沿技术，结合本地文化民俗等特色，面向某一具体文化传承与交流问题提出有效解决方案。</w:t>
      </w:r>
    </w:p>
    <w:p w14:paraId="2EE2B767">
      <w:pPr>
        <w:keepNext w:val="0"/>
        <w:keepLines w:val="0"/>
        <w:widowControl w:val="0"/>
        <w:numPr>
          <w:ilvl w:val="0"/>
          <w:numId w:val="0"/>
        </w:numPr>
        <w:suppressLineNumbers w:val="0"/>
        <w:spacing w:before="0" w:beforeAutospacing="0" w:after="0" w:afterAutospacing="0" w:line="360" w:lineRule="auto"/>
        <w:ind w:right="0" w:rightChars="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场景3：面向社会服务与治理的人机协作。面向人们丰富多样的生产生活需求，高效有序的社会服务与治理有助于推动社会环境的持续改善。人机协作可广泛服务于人类社会生活中的各个场景，如运动健康、情感关怀、安全防护、社会救助等，并提高服务的效率、精准度和覆盖面等。通过创意设计相关作品，基于人机协作相关前沿技术，面向某一具体社会服务与治理问题提出有效解决方案。</w:t>
      </w:r>
    </w:p>
    <w:p w14:paraId="54D5DF1A">
      <w:pPr>
        <w:keepNext w:val="0"/>
        <w:keepLines w:val="0"/>
        <w:widowControl w:val="0"/>
        <w:numPr>
          <w:ilvl w:val="0"/>
          <w:numId w:val="0"/>
        </w:numPr>
        <w:suppressLineNumbers w:val="0"/>
        <w:spacing w:before="0" w:beforeAutospacing="0" w:after="0" w:afterAutospacing="0" w:line="360" w:lineRule="auto"/>
        <w:ind w:right="0" w:rightChars="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其他场景：鼓励基于对实际生产生活的观察和思考，创新其他符合“人机协作”主题的场景应用。</w:t>
      </w:r>
    </w:p>
    <w:p w14:paraId="3B6ECF93">
      <w:pPr>
        <w:pStyle w:val="2"/>
        <w:pageBreakBefore w:val="0"/>
        <w:widowControl/>
        <w:kinsoku/>
        <w:wordWrap/>
        <w:overflowPunct/>
        <w:topLinePunct w:val="0"/>
        <w:autoSpaceDE/>
        <w:autoSpaceDN/>
        <w:bidi w:val="0"/>
        <w:adjustRightInd w:val="0"/>
        <w:snapToGrid w:val="0"/>
        <w:spacing w:before="0" w:beforeLines="0" w:beforeAutospacing="0" w:afterAutospacing="0"/>
        <w:ind w:left="0" w:firstLine="562" w:firstLineChars="200"/>
        <w:textAlignment w:val="auto"/>
        <w:rPr>
          <w:rFonts w:hint="default" w:ascii="黑体" w:hAnsi="宋体" w:eastAsia="黑体" w:cs="黑体"/>
          <w:color w:val="000000"/>
          <w:kern w:val="2"/>
          <w:sz w:val="28"/>
          <w:szCs w:val="28"/>
        </w:rPr>
      </w:pPr>
      <w:r>
        <w:rPr>
          <w:rFonts w:hint="eastAsia" w:ascii="黑体" w:hAnsi="宋体" w:eastAsia="黑体" w:cs="黑体"/>
          <w:color w:val="000000"/>
          <w:kern w:val="2"/>
          <w:sz w:val="28"/>
          <w:szCs w:val="28"/>
        </w:rPr>
        <w:t>三、考查目标</w:t>
      </w:r>
    </w:p>
    <w:p w14:paraId="4FAF4C2A">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面对国计民生和科技发展的正确价值观和主观能动性。</w:t>
      </w:r>
    </w:p>
    <w:p w14:paraId="62D397FB">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发现与定义问题的洞察力和批判性思维能力。</w:t>
      </w:r>
    </w:p>
    <w:p w14:paraId="75FE584A">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提出科学系统解决方案的创新意识与创新能力。</w:t>
      </w:r>
    </w:p>
    <w:p w14:paraId="0C4F869B">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多学科知识交叉学习与应用的能力。</w:t>
      </w:r>
    </w:p>
    <w:p w14:paraId="57FB2AB3">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动手实践、团队协作的能力。</w:t>
      </w:r>
    </w:p>
    <w:p w14:paraId="1A761664">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文字和语言表达以及作品呈现、展示能力。</w:t>
      </w:r>
    </w:p>
    <w:p w14:paraId="74D66D23">
      <w:pPr>
        <w:pStyle w:val="2"/>
        <w:pageBreakBefore w:val="0"/>
        <w:widowControl/>
        <w:kinsoku/>
        <w:wordWrap/>
        <w:overflowPunct/>
        <w:topLinePunct w:val="0"/>
        <w:autoSpaceDE/>
        <w:autoSpaceDN/>
        <w:bidi w:val="0"/>
        <w:adjustRightInd w:val="0"/>
        <w:snapToGrid w:val="0"/>
        <w:spacing w:before="0" w:beforeLines="0" w:beforeAutospacing="0" w:afterAutospacing="0"/>
        <w:ind w:left="0" w:firstLine="562" w:firstLineChars="200"/>
        <w:textAlignment w:val="auto"/>
        <w:rPr>
          <w:rFonts w:hint="default" w:ascii="黑体" w:hAnsi="宋体" w:eastAsia="黑体" w:cs="黑体"/>
          <w:color w:val="000000"/>
          <w:kern w:val="2"/>
          <w:sz w:val="28"/>
          <w:szCs w:val="28"/>
        </w:rPr>
      </w:pPr>
      <w:r>
        <w:rPr>
          <w:rFonts w:hint="eastAsia" w:ascii="黑体" w:hAnsi="宋体" w:eastAsia="黑体" w:cs="黑体"/>
          <w:color w:val="000000"/>
          <w:kern w:val="2"/>
          <w:sz w:val="28"/>
          <w:szCs w:val="28"/>
        </w:rPr>
        <w:t>四、比赛规则</w:t>
      </w:r>
    </w:p>
    <w:p w14:paraId="1C0AA135">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本命题面向大学组开展，每支参赛队伍由</w:t>
      </w:r>
      <w:r>
        <w:rPr>
          <w:rFonts w:hint="default" w:ascii="方正仿宋_GB2312" w:hAnsi="方正仿宋_GB2312" w:eastAsia="方正仿宋_GB2312" w:cs="方正仿宋_GB2312"/>
          <w:i w:val="0"/>
          <w:iCs w:val="0"/>
          <w:color w:val="000000"/>
          <w:kern w:val="0"/>
          <w:sz w:val="28"/>
          <w:szCs w:val="28"/>
          <w:u w:val="none"/>
          <w:lang w:val="en-US" w:eastAsia="zh-CN" w:bidi="ar"/>
        </w:rPr>
        <w:t>2-4</w:t>
      </w:r>
      <w:r>
        <w:rPr>
          <w:rFonts w:hint="eastAsia" w:ascii="方正仿宋_GB2312" w:hAnsi="方正仿宋_GB2312" w:eastAsia="方正仿宋_GB2312" w:cs="方正仿宋_GB2312"/>
          <w:i w:val="0"/>
          <w:iCs w:val="0"/>
          <w:color w:val="000000"/>
          <w:kern w:val="0"/>
          <w:sz w:val="28"/>
          <w:szCs w:val="28"/>
          <w:u w:val="none"/>
          <w:lang w:val="en-US" w:eastAsia="zh-CN" w:bidi="ar"/>
        </w:rPr>
        <w:t>名参赛选手（鼓励女性参赛）和</w:t>
      </w:r>
      <w:r>
        <w:rPr>
          <w:rFonts w:hint="default" w:ascii="方正仿宋_GB2312" w:hAnsi="方正仿宋_GB2312" w:eastAsia="方正仿宋_GB2312" w:cs="方正仿宋_GB2312"/>
          <w:i w:val="0"/>
          <w:iCs w:val="0"/>
          <w:color w:val="000000"/>
          <w:kern w:val="0"/>
          <w:sz w:val="28"/>
          <w:szCs w:val="28"/>
          <w:u w:val="none"/>
          <w:lang w:val="en-US" w:eastAsia="zh-CN" w:bidi="ar"/>
        </w:rPr>
        <w:t>1-2</w:t>
      </w:r>
      <w:r>
        <w:rPr>
          <w:rFonts w:hint="eastAsia" w:ascii="方正仿宋_GB2312" w:hAnsi="方正仿宋_GB2312" w:eastAsia="方正仿宋_GB2312" w:cs="方正仿宋_GB2312"/>
          <w:i w:val="0"/>
          <w:iCs w:val="0"/>
          <w:color w:val="000000"/>
          <w:kern w:val="0"/>
          <w:sz w:val="28"/>
          <w:szCs w:val="28"/>
          <w:u w:val="none"/>
          <w:lang w:val="en-US" w:eastAsia="zh-CN" w:bidi="ar"/>
        </w:rPr>
        <w:t>名学校指导老师组成。同一选手不得跨队参与同一命题比赛。</w:t>
      </w:r>
      <w:bookmarkStart w:id="2" w:name="OLE_LINK3"/>
      <w:r>
        <w:rPr>
          <w:rFonts w:hint="eastAsia" w:ascii="方正仿宋_GB2312" w:hAnsi="方正仿宋_GB2312" w:eastAsia="方正仿宋_GB2312" w:cs="方正仿宋_GB2312"/>
          <w:i w:val="0"/>
          <w:iCs w:val="0"/>
          <w:color w:val="000000"/>
          <w:kern w:val="0"/>
          <w:sz w:val="28"/>
          <w:szCs w:val="28"/>
          <w:u w:val="none"/>
          <w:lang w:val="en-US" w:eastAsia="zh-CN" w:bidi="ar"/>
        </w:rPr>
        <w:t>复赛参赛选手和学校指导老师须与初赛一致。</w:t>
      </w:r>
    </w:p>
    <w:p w14:paraId="1FE1CFCD">
      <w:pPr>
        <w:keepNext w:val="0"/>
        <w:keepLines w:val="0"/>
        <w:pageBreakBefore w:val="0"/>
        <w:widowControl/>
        <w:kinsoku/>
        <w:wordWrap/>
        <w:overflowPunct/>
        <w:topLinePunct w:val="0"/>
        <w:autoSpaceDE/>
        <w:autoSpaceDN/>
        <w:bidi w:val="0"/>
        <w:adjustRightInd w:val="0"/>
        <w:snapToGrid w:val="0"/>
        <w:spacing w:beforeAutospacing="0" w:after="0" w:afterAutospacing="0" w:line="360" w:lineRule="auto"/>
        <w:ind w:firstLine="300" w:firstLineChars="100"/>
        <w:textAlignment w:val="auto"/>
        <w:rPr>
          <w:rFonts w:hint="eastAsia" w:ascii="楷体" w:hAnsi="楷体" w:eastAsia="楷体" w:cs="楷体"/>
          <w:sz w:val="30"/>
          <w:szCs w:val="30"/>
          <w:lang w:val="en-US" w:eastAsia="zh-CN"/>
        </w:rPr>
      </w:pPr>
      <w:bookmarkStart w:id="3" w:name="OLE_LINK16"/>
      <w:r>
        <w:rPr>
          <w:rFonts w:hint="eastAsia" w:ascii="楷体" w:hAnsi="楷体" w:eastAsia="楷体" w:cs="楷体"/>
          <w:sz w:val="30"/>
          <w:szCs w:val="30"/>
          <w:lang w:val="en-US" w:eastAsia="zh-CN"/>
        </w:rPr>
        <w:t>（一）复选采用现场作品展示、现场陈述和答辩的形式进行，现场陈述时间为5分钟时间，答辩时间为5分钟，时间到即停止。</w:t>
      </w:r>
    </w:p>
    <w:bookmarkEnd w:id="3"/>
    <w:p w14:paraId="0313D9D8">
      <w:pPr>
        <w:keepNext w:val="0"/>
        <w:keepLines w:val="0"/>
        <w:widowControl w:val="0"/>
        <w:numPr>
          <w:ilvl w:val="0"/>
          <w:numId w:val="0"/>
        </w:numPr>
        <w:suppressLineNumbers w:val="0"/>
        <w:spacing w:before="0" w:beforeAutospacing="0" w:after="0" w:afterAutospacing="0" w:line="360" w:lineRule="auto"/>
        <w:ind w:right="0" w:rightChars="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1.鼓励参赛队伍围绕参赛作品主题及内容选择恰当的演示形式，可辅以视频、PPT等配合说明，重点展示作品创新点、技术点等专业水平，具体形式不限。</w:t>
      </w:r>
    </w:p>
    <w:p w14:paraId="409E4912">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2.作品演示说明：要求参赛作品（实物、模型或其他形式）能够体现其设计原理及主要功能。</w:t>
      </w:r>
    </w:p>
    <w:p w14:paraId="36C756A3">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bookmarkStart w:id="4" w:name="OLE_LINK4"/>
      <w:r>
        <w:rPr>
          <w:rFonts w:hint="eastAsia" w:ascii="方正仿宋_GB2312" w:hAnsi="方正仿宋_GB2312" w:eastAsia="方正仿宋_GB2312" w:cs="方正仿宋_GB2312"/>
          <w:i w:val="0"/>
          <w:iCs w:val="0"/>
          <w:color w:val="000000"/>
          <w:kern w:val="0"/>
          <w:sz w:val="28"/>
          <w:szCs w:val="28"/>
          <w:u w:val="none"/>
          <w:lang w:val="en-US" w:eastAsia="zh-CN" w:bidi="ar"/>
        </w:rPr>
        <w:t>3.参赛队伍需明确分工，如因参赛选手个人原因缺席导致的分数扣减，由参赛队伍自行承担责任。</w:t>
      </w:r>
    </w:p>
    <w:bookmarkEnd w:id="4"/>
    <w:p w14:paraId="584DCB67">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4.现场陈述答辩过程不设人数限制，参赛选手均可参与（不允许指导老师参与）。</w:t>
      </w:r>
    </w:p>
    <w:p w14:paraId="055F9A60">
      <w:pPr>
        <w:keepNext w:val="0"/>
        <w:keepLines w:val="0"/>
        <w:pageBreakBefore w:val="0"/>
        <w:widowControl/>
        <w:kinsoku/>
        <w:wordWrap/>
        <w:overflowPunct/>
        <w:topLinePunct w:val="0"/>
        <w:autoSpaceDE/>
        <w:autoSpaceDN/>
        <w:bidi w:val="0"/>
        <w:adjustRightInd w:val="0"/>
        <w:snapToGrid w:val="0"/>
        <w:spacing w:beforeAutospacing="0" w:after="0" w:afterAutospacing="0" w:line="360" w:lineRule="auto"/>
        <w:ind w:firstLine="300" w:firstLineChars="100"/>
        <w:textAlignment w:val="auto"/>
        <w:rPr>
          <w:rFonts w:hint="eastAsia" w:ascii="楷体" w:hAnsi="楷体" w:eastAsia="楷体" w:cs="楷体"/>
          <w:sz w:val="30"/>
          <w:szCs w:val="30"/>
          <w:lang w:val="en-US" w:eastAsia="zh-CN"/>
        </w:rPr>
      </w:pPr>
      <w:r>
        <w:rPr>
          <w:rFonts w:hint="eastAsia" w:ascii="楷体" w:hAnsi="楷体" w:eastAsia="楷体" w:cs="楷体"/>
          <w:sz w:val="30"/>
          <w:szCs w:val="30"/>
          <w:lang w:val="en-US" w:eastAsia="zh-CN"/>
        </w:rPr>
        <w:t>（二）复选需按照以下要求在大赛官网复赛通道提交作品内容。</w:t>
      </w:r>
    </w:p>
    <w:bookmarkEnd w:id="2"/>
    <w:p w14:paraId="55BC55EB">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 xml:space="preserve">1.项目研究方案 </w:t>
      </w:r>
    </w:p>
    <w:p w14:paraId="70157C7E">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 xml:space="preserve">项目实施前的研究计划，模板见附件1。项目研究方案必须包含但不限于附件1中的内容。 </w:t>
      </w:r>
    </w:p>
    <w:p w14:paraId="6B609CE5">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2.项目研究报告</w:t>
      </w:r>
    </w:p>
    <w:p w14:paraId="6FF3C5A2">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项目完成后的研究总结，模板见附件2。项目研究报告必须包含但不限于附件2中的内容。</w:t>
      </w:r>
    </w:p>
    <w:p w14:paraId="42D6D433">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3.研究日志</w:t>
      </w:r>
    </w:p>
    <w:p w14:paraId="06C2F154">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研究过程中的工作研讨情况，模板见附件3。</w:t>
      </w:r>
    </w:p>
    <w:p w14:paraId="43D7A3DC">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4.程序清单（如有）</w:t>
      </w:r>
    </w:p>
    <w:p w14:paraId="495B3DA1">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项目程序代码或图形化编程逻辑介绍。</w:t>
      </w:r>
    </w:p>
    <w:p w14:paraId="4BC8210C">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5.原理图及工程图（如有）</w:t>
      </w:r>
    </w:p>
    <w:p w14:paraId="572E25D4">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包括作品的内部结构图、电子元器件连接图、程序流程图等。</w:t>
      </w:r>
    </w:p>
    <w:p w14:paraId="2D5DCD8C">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6.查新报告</w:t>
      </w:r>
    </w:p>
    <w:p w14:paraId="55B887C5">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对作品的新颖性进行查证。可提供等效材料代替，等效材料模板见附件5。</w:t>
      </w:r>
    </w:p>
    <w:p w14:paraId="6C981665">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7.作品视频</w:t>
      </w:r>
    </w:p>
    <w:p w14:paraId="56F36438">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包括但不限于重要创意过程、制作过程、作品操作和演示过程等，鼓励呈现发现问题、解决问题、迭代更新等过程。</w:t>
      </w:r>
    </w:p>
    <w:p w14:paraId="0CA0BE29">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要求时长2-5分钟，MP4、AVI、MOV或FLV格式，横屏录制，分辨率1920*1080，大小100MB以内。</w:t>
      </w:r>
    </w:p>
    <w:p w14:paraId="24967B7B">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8.展示PPT</w:t>
      </w:r>
    </w:p>
    <w:p w14:paraId="01C0A539">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以PPT格式文件对项目进行展示。大小100MB以内。</w:t>
      </w:r>
    </w:p>
    <w:p w14:paraId="31488104">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9.海报材料</w:t>
      </w:r>
    </w:p>
    <w:p w14:paraId="6A9F935C">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图文并茂的展板设计稿。JPG、PNG或PDF格式，尺寸60cm*90cm，大小100MB以内。(注意：复赛现场展示区提供高120cm,宽80cm的展板供选手粘贴海报）。</w:t>
      </w:r>
    </w:p>
    <w:p w14:paraId="1199AAB5">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10.参赛承诺</w:t>
      </w:r>
    </w:p>
    <w:p w14:paraId="775CED0A">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参赛队伍填写参赛承诺，模板见附件4。打印签字后扫描上传，要求PDF格式，大小10MB以内。</w:t>
      </w:r>
    </w:p>
    <w:p w14:paraId="35BFA12D">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 xml:space="preserve">11.作品成果 </w:t>
      </w:r>
    </w:p>
    <w:p w14:paraId="1127A18C">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复选需在现场展示作品实物(设备、装置或系统等)，要求作品能够体现其设计原理及主要功能，可辅以视频、图片或其他展示形式。</w:t>
      </w:r>
    </w:p>
    <w:p w14:paraId="1202ED2A">
      <w:pPr>
        <w:pStyle w:val="2"/>
        <w:pageBreakBefore w:val="0"/>
        <w:widowControl/>
        <w:kinsoku/>
        <w:wordWrap/>
        <w:overflowPunct/>
        <w:topLinePunct w:val="0"/>
        <w:autoSpaceDE/>
        <w:autoSpaceDN/>
        <w:bidi w:val="0"/>
        <w:adjustRightInd w:val="0"/>
        <w:snapToGrid w:val="0"/>
        <w:spacing w:before="0" w:beforeLines="0" w:beforeAutospacing="0" w:afterAutospacing="0"/>
        <w:ind w:left="0" w:firstLine="562" w:firstLineChars="200"/>
        <w:textAlignment w:val="auto"/>
        <w:rPr>
          <w:rFonts w:hint="eastAsia" w:ascii="黑体" w:hAnsi="宋体" w:eastAsia="黑体" w:cs="黑体"/>
          <w:color w:val="000000"/>
          <w:kern w:val="2"/>
          <w:sz w:val="28"/>
          <w:szCs w:val="28"/>
        </w:rPr>
      </w:pPr>
      <w:r>
        <w:rPr>
          <w:rFonts w:hint="eastAsia" w:ascii="黑体" w:hAnsi="宋体" w:cs="黑体"/>
          <w:color w:val="000000"/>
          <w:kern w:val="2"/>
          <w:sz w:val="28"/>
          <w:szCs w:val="28"/>
          <w:lang w:val="en-US" w:eastAsia="zh-CN"/>
        </w:rPr>
        <w:t>五、</w:t>
      </w:r>
      <w:r>
        <w:rPr>
          <w:rFonts w:hint="eastAsia" w:ascii="黑体" w:hAnsi="宋体" w:eastAsia="黑体" w:cs="黑体"/>
          <w:color w:val="000000"/>
          <w:kern w:val="2"/>
          <w:sz w:val="28"/>
          <w:szCs w:val="28"/>
          <w:lang w:val="en-US" w:eastAsia="zh-CN"/>
        </w:rPr>
        <w:t>评审标准</w:t>
      </w:r>
    </w:p>
    <w:p w14:paraId="749D27C3">
      <w:pPr>
        <w:keepNext w:val="0"/>
        <w:keepLines w:val="0"/>
        <w:pageBreakBefore w:val="0"/>
        <w:widowControl/>
        <w:kinsoku/>
        <w:wordWrap/>
        <w:overflowPunct/>
        <w:topLinePunct w:val="0"/>
        <w:autoSpaceDE/>
        <w:autoSpaceDN/>
        <w:bidi w:val="0"/>
        <w:adjustRightInd w:val="0"/>
        <w:snapToGrid w:val="0"/>
        <w:spacing w:beforeAutospacing="0" w:after="0" w:afterAutospacing="0" w:line="360" w:lineRule="auto"/>
        <w:ind w:firstLine="300" w:firstLineChars="100"/>
        <w:textAlignment w:val="auto"/>
        <w:rPr>
          <w:rFonts w:hint="eastAsia" w:ascii="楷体" w:hAnsi="楷体" w:eastAsia="楷体" w:cs="楷体"/>
          <w:sz w:val="30"/>
          <w:szCs w:val="30"/>
          <w:lang w:val="en-US" w:eastAsia="zh-CN"/>
        </w:rPr>
      </w:pPr>
      <w:r>
        <w:rPr>
          <w:rFonts w:hint="eastAsia" w:ascii="楷体" w:hAnsi="楷体" w:eastAsia="楷体" w:cs="楷体"/>
          <w:sz w:val="30"/>
          <w:szCs w:val="30"/>
          <w:lang w:val="en-US" w:eastAsia="zh-CN"/>
        </w:rPr>
        <w:t>（一）复选评审标准</w:t>
      </w:r>
    </w:p>
    <w:p w14:paraId="067B88AA">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评审标准较初赛有所调整，主要从实用性、创新性、科学性、普及性、参与度、完成度、展示度及现场表达等方面重点考查作品创作的专业水平。</w:t>
      </w:r>
    </w:p>
    <w:p w14:paraId="280E1D96">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bookmarkStart w:id="5" w:name="OLE_LINK12"/>
      <w:r>
        <w:rPr>
          <w:rFonts w:hint="eastAsia" w:ascii="方正仿宋_GB2312" w:hAnsi="方正仿宋_GB2312" w:eastAsia="方正仿宋_GB2312" w:cs="方正仿宋_GB2312"/>
          <w:i w:val="0"/>
          <w:iCs w:val="0"/>
          <w:color w:val="000000"/>
          <w:kern w:val="0"/>
          <w:sz w:val="28"/>
          <w:szCs w:val="28"/>
          <w:u w:val="none"/>
          <w:lang w:val="en-US" w:eastAsia="zh-CN" w:bidi="ar"/>
        </w:rPr>
        <w:t>1.实用性、创新性、科学性、普及性、参与度(指标具体内容同初赛)。</w:t>
      </w:r>
    </w:p>
    <w:bookmarkEnd w:id="5"/>
    <w:p w14:paraId="1600B8DA">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2.完成度：项目文本等相关材料内容较完备，作品原型系统完成度高。</w:t>
      </w:r>
    </w:p>
    <w:p w14:paraId="39DFF7E4">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3.展示度：现场进行作品实物展示，成功展示作品设计原理及主要功能。</w:t>
      </w:r>
    </w:p>
    <w:p w14:paraId="69434009">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4.现场表达：表达逻辑清晰、科学规范，问辩时能客观、准确回答评委提问。</w:t>
      </w:r>
    </w:p>
    <w:p w14:paraId="4F5CE40E">
      <w:pPr>
        <w:keepNext w:val="0"/>
        <w:keepLines w:val="0"/>
        <w:pageBreakBefore w:val="0"/>
        <w:widowControl/>
        <w:kinsoku/>
        <w:wordWrap/>
        <w:overflowPunct/>
        <w:topLinePunct w:val="0"/>
        <w:autoSpaceDE/>
        <w:autoSpaceDN/>
        <w:bidi w:val="0"/>
        <w:adjustRightInd w:val="0"/>
        <w:snapToGrid w:val="0"/>
        <w:spacing w:beforeAutospacing="0" w:after="0" w:afterAutospacing="0" w:line="360" w:lineRule="auto"/>
        <w:ind w:firstLine="300" w:firstLineChars="100"/>
        <w:textAlignment w:val="auto"/>
        <w:rPr>
          <w:rFonts w:hint="eastAsia" w:ascii="楷体" w:hAnsi="楷体" w:eastAsia="楷体" w:cs="楷体"/>
          <w:sz w:val="30"/>
          <w:szCs w:val="30"/>
          <w:lang w:val="en-US" w:eastAsia="zh-CN"/>
        </w:rPr>
      </w:pPr>
      <w:r>
        <w:rPr>
          <w:rFonts w:hint="eastAsia" w:ascii="楷体" w:hAnsi="楷体" w:eastAsia="楷体" w:cs="楷体"/>
          <w:sz w:val="30"/>
          <w:szCs w:val="30"/>
          <w:lang w:val="en-US" w:eastAsia="zh-CN"/>
        </w:rPr>
        <w:t>（二）注意事项</w:t>
      </w:r>
    </w:p>
    <w:p w14:paraId="62E0F219">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1.评审采用打分制，参赛队伍答辩完毕后，评委进行打分，并按照平均分的高低确定排名。如遇作品同分且无法判别获奖等次的情况，由评委现场对同分作品进行投票或打分来决定获奖等次。</w:t>
      </w:r>
    </w:p>
    <w:p w14:paraId="2B208A9C">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2.评委遵循回避原则，如遇本单位参赛或本人指导的队伍作品，则该评委评分无效。</w:t>
      </w:r>
    </w:p>
    <w:p w14:paraId="2ECED003">
      <w:pPr>
        <w:pStyle w:val="2"/>
        <w:pageBreakBefore w:val="0"/>
        <w:widowControl/>
        <w:kinsoku/>
        <w:wordWrap/>
        <w:overflowPunct/>
        <w:topLinePunct w:val="0"/>
        <w:autoSpaceDE/>
        <w:autoSpaceDN/>
        <w:bidi w:val="0"/>
        <w:adjustRightInd w:val="0"/>
        <w:snapToGrid w:val="0"/>
        <w:spacing w:before="0" w:beforeLines="0" w:beforeAutospacing="0" w:afterAutospacing="0"/>
        <w:ind w:left="0" w:firstLine="562" w:firstLineChars="200"/>
        <w:textAlignment w:val="auto"/>
        <w:rPr>
          <w:rFonts w:hint="default" w:ascii="黑体" w:hAnsi="宋体" w:eastAsia="黑体" w:cs="黑体"/>
          <w:color w:val="000000"/>
          <w:kern w:val="2"/>
          <w:sz w:val="28"/>
          <w:szCs w:val="28"/>
          <w:lang w:val="en-US" w:eastAsia="zh-CN"/>
        </w:rPr>
      </w:pPr>
      <w:r>
        <w:rPr>
          <w:rFonts w:hint="eastAsia" w:ascii="黑体" w:hAnsi="宋体" w:cs="黑体"/>
          <w:color w:val="000000"/>
          <w:kern w:val="2"/>
          <w:sz w:val="28"/>
          <w:szCs w:val="28"/>
          <w:lang w:val="en-US" w:eastAsia="zh-CN"/>
        </w:rPr>
        <w:t>六</w:t>
      </w:r>
      <w:r>
        <w:rPr>
          <w:rFonts w:hint="eastAsia" w:ascii="黑体" w:hAnsi="宋体" w:eastAsia="黑体" w:cs="黑体"/>
          <w:color w:val="000000"/>
          <w:kern w:val="2"/>
          <w:sz w:val="28"/>
          <w:szCs w:val="28"/>
          <w:lang w:val="en-US" w:eastAsia="zh-CN"/>
        </w:rPr>
        <w:t>、其他要求</w:t>
      </w:r>
    </w:p>
    <w:p w14:paraId="106ADACC">
      <w:pPr>
        <w:keepNext w:val="0"/>
        <w:keepLines w:val="0"/>
        <w:pageBreakBefore w:val="0"/>
        <w:widowControl/>
        <w:kinsoku/>
        <w:wordWrap/>
        <w:overflowPunct/>
        <w:topLinePunct w:val="0"/>
        <w:autoSpaceDE/>
        <w:autoSpaceDN/>
        <w:bidi w:val="0"/>
        <w:adjustRightInd w:val="0"/>
        <w:snapToGrid w:val="0"/>
        <w:spacing w:beforeAutospacing="0" w:after="0" w:afterAutospacing="0" w:line="360" w:lineRule="auto"/>
        <w:ind w:firstLine="300" w:firstLineChars="100"/>
        <w:textAlignment w:val="auto"/>
        <w:rPr>
          <w:rFonts w:hint="eastAsia" w:ascii="楷体" w:hAnsi="楷体" w:eastAsia="楷体" w:cs="楷体"/>
          <w:sz w:val="30"/>
          <w:szCs w:val="30"/>
          <w:lang w:val="en-US" w:eastAsia="zh-CN"/>
        </w:rPr>
      </w:pPr>
      <w:r>
        <w:rPr>
          <w:rFonts w:hint="eastAsia" w:ascii="楷体" w:hAnsi="楷体" w:eastAsia="楷体" w:cs="楷体"/>
          <w:sz w:val="30"/>
          <w:szCs w:val="30"/>
          <w:lang w:val="en-US" w:eastAsia="zh-CN"/>
        </w:rPr>
        <w:t>（一）参赛作品要求</w:t>
      </w:r>
    </w:p>
    <w:p w14:paraId="46F931D2">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1.提交作品不得为本大赛往届全国总决赛获得特、一、二、三等奖的作品。</w:t>
      </w:r>
    </w:p>
    <w:p w14:paraId="46F899AA">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2.提交作品不得为教育部公布的全国性竞赛活动（参考《</w:t>
      </w:r>
      <w:r>
        <w:rPr>
          <w:rFonts w:hint="default" w:ascii="方正仿宋_GB2312" w:hAnsi="方正仿宋_GB2312" w:eastAsia="方正仿宋_GB2312" w:cs="方正仿宋_GB2312"/>
          <w:i w:val="0"/>
          <w:iCs w:val="0"/>
          <w:color w:val="000000"/>
          <w:kern w:val="0"/>
          <w:sz w:val="28"/>
          <w:szCs w:val="28"/>
          <w:u w:val="none"/>
          <w:lang w:val="en-US" w:eastAsia="zh-CN" w:bidi="ar"/>
        </w:rPr>
        <w:t>2023</w:t>
      </w:r>
      <w:r>
        <w:rPr>
          <w:rFonts w:hint="eastAsia" w:ascii="方正仿宋_GB2312" w:hAnsi="方正仿宋_GB2312" w:eastAsia="方正仿宋_GB2312" w:cs="方正仿宋_GB2312"/>
          <w:i w:val="0"/>
          <w:iCs w:val="0"/>
          <w:color w:val="000000"/>
          <w:kern w:val="0"/>
          <w:sz w:val="28"/>
          <w:szCs w:val="28"/>
          <w:u w:val="none"/>
          <w:lang w:val="en-US" w:eastAsia="zh-CN" w:bidi="ar"/>
        </w:rPr>
        <w:t>全国普通高校大学生竞赛分析报告》竞赛目录）获得一、二、三等奖的作品。</w:t>
      </w:r>
    </w:p>
    <w:p w14:paraId="355E6F20">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3.大赛组织委员会将对作品原创性等进行查新、查重审核。如有违规，一经查实，取消参赛资格。</w:t>
      </w:r>
    </w:p>
    <w:p w14:paraId="0C6F818F">
      <w:pPr>
        <w:keepNext w:val="0"/>
        <w:keepLines w:val="0"/>
        <w:pageBreakBefore w:val="0"/>
        <w:widowControl/>
        <w:kinsoku/>
        <w:wordWrap/>
        <w:overflowPunct/>
        <w:topLinePunct w:val="0"/>
        <w:autoSpaceDE/>
        <w:autoSpaceDN/>
        <w:bidi w:val="0"/>
        <w:adjustRightInd w:val="0"/>
        <w:snapToGrid w:val="0"/>
        <w:spacing w:beforeAutospacing="0" w:after="0" w:afterAutospacing="0" w:line="360" w:lineRule="auto"/>
        <w:ind w:firstLine="300" w:firstLineChars="100"/>
        <w:textAlignment w:val="auto"/>
        <w:rPr>
          <w:rFonts w:hint="eastAsia" w:ascii="楷体" w:hAnsi="楷体" w:eastAsia="楷体" w:cs="楷体"/>
          <w:sz w:val="30"/>
          <w:szCs w:val="30"/>
          <w:lang w:val="en-US" w:eastAsia="zh-CN"/>
        </w:rPr>
      </w:pPr>
      <w:r>
        <w:rPr>
          <w:rFonts w:hint="eastAsia" w:ascii="楷体" w:hAnsi="楷体" w:eastAsia="楷体" w:cs="楷体"/>
          <w:sz w:val="30"/>
          <w:szCs w:val="30"/>
          <w:lang w:val="en-US" w:eastAsia="zh-CN"/>
        </w:rPr>
        <w:t>（二）参赛纪律和要求</w:t>
      </w:r>
    </w:p>
    <w:p w14:paraId="1B3DCCFA">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bookmarkStart w:id="6" w:name="OLE_LINK9"/>
      <w:r>
        <w:rPr>
          <w:rFonts w:hint="eastAsia" w:ascii="方正仿宋_GB2312" w:hAnsi="方正仿宋_GB2312" w:eastAsia="方正仿宋_GB2312" w:cs="方正仿宋_GB2312"/>
          <w:i w:val="0"/>
          <w:iCs w:val="0"/>
          <w:color w:val="000000"/>
          <w:kern w:val="0"/>
          <w:sz w:val="28"/>
          <w:szCs w:val="28"/>
          <w:u w:val="none"/>
          <w:lang w:val="en-US" w:eastAsia="zh-CN" w:bidi="ar"/>
        </w:rPr>
        <w:t>1.参赛队伍所有选手均须到场参与陈述答辩，如参赛队伍缺席视为放弃比赛资格；如果确因不可抗力因素导致部分选手缺席，需提供情况说明。</w:t>
      </w:r>
    </w:p>
    <w:p w14:paraId="47349ADD">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2.陈述答辩过程中，仅该参赛队伍的选手入场陈述答辩，其他人员（包括分赛点领队、参赛队伍指导教师等）不得进入场内。</w:t>
      </w:r>
    </w:p>
    <w:p w14:paraId="0050680C">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3.各参赛队伍须按要求提前将陈述内容提交大赛组织委员会，陈述过程中不得对作品结构功能进行调整。参赛期间，参赛队伍自行保管参赛作品。</w:t>
      </w:r>
    </w:p>
    <w:p w14:paraId="64D28639">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4.比赛现场服从组织委员会、监审委员会及专家评审组的决定和指令。</w:t>
      </w:r>
    </w:p>
    <w:p w14:paraId="3756EFC4">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5.参赛选手入场陈述答辩时禁止携带任何具有通讯、录音录像等功能的设施设备。若现场作品演示确需使用相关电子设备，须提前向大赛组织委员会报备，经审查同意后方可使用。</w:t>
      </w:r>
    </w:p>
    <w:p w14:paraId="4580DE7B">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6.入围和晋级复选作品的队伍有义务参加大赛举办的相关展示和交流活动。</w:t>
      </w:r>
    </w:p>
    <w:p w14:paraId="2C4D59E6">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7.参赛队伍须承诺作品为团队原创研究成果，大赛主办方享有对其提交作品的无偿的永久的公益性宣传、展出、出版及其他使用权；承诺若作品被查证存在“代考”、“买成果”、家长或商业机构代劳、抄袭、侵权、一个作品多次参赛等造假或违规行为，参赛队伍承担一切责任。</w:t>
      </w:r>
    </w:p>
    <w:p w14:paraId="7FA26583">
      <w:pPr>
        <w:keepNext w:val="0"/>
        <w:keepLines w:val="0"/>
        <w:widowControl w:val="0"/>
        <w:suppressLineNumbers w:val="0"/>
        <w:spacing w:before="0" w:beforeAutospacing="0" w:after="0" w:afterAutospacing="0" w:line="360" w:lineRule="auto"/>
        <w:ind w:left="0" w:right="0" w:firstLine="560" w:firstLineChars="200"/>
        <w:jc w:val="both"/>
        <w:rPr>
          <w:rFonts w:hint="eastAsia" w:ascii="方正仿宋_GB2312" w:hAnsi="方正仿宋_GB2312" w:eastAsia="方正仿宋_GB2312" w:cs="方正仿宋_GB2312"/>
          <w:i w:val="0"/>
          <w:iCs w:val="0"/>
          <w:color w:val="000000"/>
          <w:kern w:val="0"/>
          <w:sz w:val="28"/>
          <w:szCs w:val="28"/>
          <w:u w:val="none"/>
          <w:lang w:val="en-US" w:eastAsia="zh-CN" w:bidi="ar"/>
        </w:rPr>
      </w:pPr>
      <w:r>
        <w:rPr>
          <w:rFonts w:hint="eastAsia" w:ascii="方正仿宋_GB2312" w:hAnsi="方正仿宋_GB2312" w:eastAsia="方正仿宋_GB2312" w:cs="方正仿宋_GB2312"/>
          <w:i w:val="0"/>
          <w:iCs w:val="0"/>
          <w:color w:val="000000"/>
          <w:kern w:val="0"/>
          <w:sz w:val="28"/>
          <w:szCs w:val="28"/>
          <w:u w:val="none"/>
          <w:lang w:val="en-US" w:eastAsia="zh-CN" w:bidi="ar"/>
        </w:rPr>
        <w:t>8.规则中如有未尽事宜，由复选专家评审组进行解释、由监审委员会确定裁决。</w:t>
      </w:r>
      <w:bookmarkEnd w:id="6"/>
    </w:p>
    <w:p w14:paraId="1D22C30B">
      <w:pPr>
        <w:keepNext w:val="0"/>
        <w:keepLines w:val="0"/>
        <w:widowControl w:val="0"/>
        <w:suppressLineNumbers w:val="0"/>
        <w:snapToGrid w:val="0"/>
        <w:spacing w:before="0" w:beforeAutospacing="0" w:after="0" w:afterAutospacing="0" w:line="360" w:lineRule="auto"/>
        <w:ind w:left="0" w:right="0" w:firstLine="480" w:firstLineChars="200"/>
        <w:jc w:val="both"/>
        <w:rPr>
          <w:rFonts w:hint="eastAsia" w:ascii="宋体" w:hAnsi="宋体" w:eastAsia="宋体" w:cs="宋体"/>
          <w:kern w:val="2"/>
          <w:sz w:val="24"/>
          <w:szCs w:val="24"/>
          <w:lang w:val="en-US" w:eastAsia="zh-CN" w:bidi="ar"/>
        </w:rPr>
      </w:pPr>
    </w:p>
    <w:p w14:paraId="2A52F47D">
      <w:pPr>
        <w:keepNext w:val="0"/>
        <w:keepLines w:val="0"/>
        <w:widowControl w:val="0"/>
        <w:suppressLineNumbers w:val="0"/>
        <w:snapToGrid w:val="0"/>
        <w:spacing w:before="0" w:beforeAutospacing="0" w:after="0" w:afterAutospacing="0" w:line="360" w:lineRule="auto"/>
        <w:ind w:right="0"/>
        <w:jc w:val="both"/>
        <w:rPr>
          <w:rFonts w:hint="eastAsia" w:ascii="宋体" w:hAnsi="宋体" w:eastAsia="宋体" w:cs="宋体"/>
          <w:kern w:val="2"/>
          <w:sz w:val="24"/>
          <w:szCs w:val="24"/>
          <w:lang w:val="en-US" w:eastAsia="zh-CN" w:bidi="ar"/>
        </w:rPr>
        <w:sectPr>
          <w:footerReference r:id="rId4" w:type="default"/>
          <w:pgSz w:w="11906" w:h="16838"/>
          <w:pgMar w:top="1440" w:right="1800" w:bottom="1440" w:left="1800" w:header="851" w:footer="992" w:gutter="0"/>
          <w:pgNumType w:fmt="decimal" w:start="1"/>
          <w:cols w:space="708" w:num="1"/>
          <w:docGrid w:type="lines" w:linePitch="312" w:charSpace="0"/>
        </w:sectPr>
      </w:pPr>
    </w:p>
    <w:p w14:paraId="350530A5">
      <w:pPr>
        <w:ind w:firstLine="0" w:firstLineChars="0"/>
        <w:rPr>
          <w:rFonts w:hint="eastAsia" w:ascii="黑体" w:hAnsi="黑体" w:eastAsia="黑体" w:cs="黑体"/>
          <w:b/>
          <w:bCs/>
          <w:sz w:val="28"/>
          <w:szCs w:val="28"/>
          <w:lang w:val="en-US" w:eastAsia="zh-CN"/>
        </w:rPr>
      </w:pPr>
      <w:r>
        <w:rPr>
          <w:rFonts w:hint="eastAsia" w:ascii="黑体" w:hAnsi="黑体" w:eastAsia="黑体" w:cs="黑体"/>
          <w:b/>
          <w:bCs/>
          <w:sz w:val="28"/>
          <w:szCs w:val="28"/>
          <w:lang w:val="en-US" w:eastAsia="zh-CN"/>
        </w:rPr>
        <w:t>附件1</w:t>
      </w:r>
    </w:p>
    <w:p w14:paraId="01DA49D2">
      <w:pPr>
        <w:spacing w:line="220" w:lineRule="atLeast"/>
        <w:jc w:val="center"/>
        <w:rPr>
          <w:rFonts w:hint="eastAsia" w:ascii="方正小标宋简体" w:eastAsia="方正小标宋简体"/>
          <w:sz w:val="32"/>
          <w:szCs w:val="32"/>
          <w:lang w:val="en-US" w:eastAsia="zh-CN"/>
        </w:rPr>
      </w:pPr>
      <w:r>
        <w:rPr>
          <w:rFonts w:hint="eastAsia" w:ascii="方正小标宋简体" w:eastAsia="方正小标宋简体"/>
          <w:sz w:val="32"/>
          <w:szCs w:val="32"/>
          <w:lang w:val="en-US" w:eastAsia="zh-CN"/>
        </w:rPr>
        <w:t>项目研究方案</w:t>
      </w:r>
    </w:p>
    <w:p w14:paraId="5A955EF8">
      <w:pPr>
        <w:keepNext w:val="0"/>
        <w:keepLines w:val="0"/>
        <w:widowControl w:val="0"/>
        <w:suppressLineNumbers w:val="0"/>
        <w:snapToGrid w:val="0"/>
        <w:spacing w:before="156" w:beforeLines="50" w:beforeAutospacing="0" w:after="156" w:afterLines="50" w:afterAutospacing="0" w:line="360" w:lineRule="auto"/>
        <w:ind w:left="0" w:right="0" w:firstLine="434" w:firstLineChars="200"/>
        <w:jc w:val="both"/>
        <w:rPr>
          <w:rFonts w:hint="eastAsia" w:ascii="宋体" w:hAnsi="宋体" w:eastAsia="宋体" w:cs="宋体"/>
          <w:kern w:val="2"/>
          <w:sz w:val="21"/>
          <w:szCs w:val="21"/>
          <w:lang w:val="en-US" w:eastAsia="zh-CN" w:bidi="ar"/>
        </w:rPr>
      </w:pPr>
    </w:p>
    <w:p w14:paraId="71A54373">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一、场景分析</w:t>
      </w:r>
    </w:p>
    <w:p w14:paraId="60F2EF5A">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（一）问题定义（拟解决的相关问题，以及问题提出的调查分析过程。限500字）</w:t>
      </w:r>
    </w:p>
    <w:p w14:paraId="29B0C30E">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（二）现状调研（对相关文献、产品、应用系统或使用者的调查研究。限1000字）</w:t>
      </w:r>
    </w:p>
    <w:p w14:paraId="4CEA1A4F">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二、作品方案</w:t>
      </w:r>
    </w:p>
    <w:p w14:paraId="1CE6E41C">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（一）作品的主要创意（限500字）</w:t>
      </w:r>
    </w:p>
    <w:p w14:paraId="6EB36F5F">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（二）作品设计思路和实现方案（需论述所使用的关键技术和关键元器件的来源等。限1000字）</w:t>
      </w:r>
    </w:p>
    <w:p w14:paraId="10D62CF2">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三、研究计划（项目各个阶段的工作安排，可以表格形式展示。限500字）</w:t>
      </w:r>
    </w:p>
    <w:p w14:paraId="0C2C0C36">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四、预期成果（期望获得的研究结果及意义。限500字）</w:t>
      </w:r>
    </w:p>
    <w:p w14:paraId="0F7C081B">
      <w:pPr>
        <w:keepNext w:val="0"/>
        <w:keepLines w:val="0"/>
        <w:widowControl w:val="0"/>
        <w:suppressLineNumbers w:val="0"/>
        <w:snapToGrid w:val="0"/>
        <w:spacing w:before="0" w:beforeAutospacing="0" w:after="0" w:afterAutospacing="0" w:line="360" w:lineRule="auto"/>
        <w:ind w:right="0"/>
        <w:jc w:val="both"/>
        <w:rPr>
          <w:rFonts w:hint="eastAsia" w:ascii="宋体" w:hAnsi="宋体" w:eastAsia="宋体" w:cs="宋体"/>
          <w:kern w:val="2"/>
          <w:sz w:val="24"/>
          <w:szCs w:val="24"/>
          <w:lang w:val="en-US" w:eastAsia="zh-CN" w:bidi="ar"/>
        </w:rPr>
      </w:pPr>
    </w:p>
    <w:p w14:paraId="57C41777">
      <w:pPr>
        <w:keepNext w:val="0"/>
        <w:keepLines w:val="0"/>
        <w:widowControl w:val="0"/>
        <w:suppressLineNumbers w:val="0"/>
        <w:snapToGrid w:val="0"/>
        <w:spacing w:before="0" w:beforeAutospacing="0" w:after="0" w:afterAutospacing="0" w:line="360" w:lineRule="auto"/>
        <w:ind w:right="0"/>
        <w:jc w:val="both"/>
        <w:rPr>
          <w:rFonts w:hint="eastAsia" w:ascii="宋体" w:hAnsi="宋体" w:eastAsia="宋体" w:cs="宋体"/>
          <w:kern w:val="2"/>
          <w:sz w:val="24"/>
          <w:szCs w:val="24"/>
          <w:lang w:val="en-US" w:eastAsia="zh-CN" w:bidi="ar"/>
        </w:rPr>
      </w:pPr>
    </w:p>
    <w:p w14:paraId="6BBB422A">
      <w:pPr>
        <w:keepNext w:val="0"/>
        <w:keepLines w:val="0"/>
        <w:widowControl w:val="0"/>
        <w:suppressLineNumbers w:val="0"/>
        <w:snapToGrid w:val="0"/>
        <w:spacing w:before="0" w:beforeAutospacing="0" w:after="0" w:afterAutospacing="0" w:line="360" w:lineRule="auto"/>
        <w:ind w:right="0"/>
        <w:jc w:val="both"/>
        <w:rPr>
          <w:rFonts w:hint="eastAsia" w:ascii="宋体" w:hAnsi="宋体" w:eastAsia="宋体" w:cs="宋体"/>
          <w:kern w:val="2"/>
          <w:sz w:val="24"/>
          <w:szCs w:val="24"/>
          <w:lang w:val="en-US" w:eastAsia="zh-CN" w:bidi="ar"/>
        </w:rPr>
      </w:pPr>
    </w:p>
    <w:p w14:paraId="2FB19CBC">
      <w:pPr>
        <w:keepNext w:val="0"/>
        <w:keepLines w:val="0"/>
        <w:widowControl w:val="0"/>
        <w:suppressLineNumbers w:val="0"/>
        <w:snapToGrid w:val="0"/>
        <w:spacing w:before="0" w:beforeAutospacing="0" w:after="0" w:afterAutospacing="0" w:line="360" w:lineRule="auto"/>
        <w:ind w:right="0"/>
        <w:jc w:val="both"/>
        <w:rPr>
          <w:rFonts w:hint="eastAsia" w:ascii="宋体" w:hAnsi="宋体" w:eastAsia="宋体" w:cs="宋体"/>
          <w:kern w:val="2"/>
          <w:sz w:val="24"/>
          <w:szCs w:val="24"/>
          <w:lang w:val="en-US" w:eastAsia="zh-CN" w:bidi="ar"/>
        </w:rPr>
      </w:pPr>
    </w:p>
    <w:p w14:paraId="0DA23393">
      <w:pPr>
        <w:keepNext w:val="0"/>
        <w:keepLines w:val="0"/>
        <w:widowControl w:val="0"/>
        <w:suppressLineNumbers w:val="0"/>
        <w:snapToGrid w:val="0"/>
        <w:spacing w:before="0" w:beforeAutospacing="0" w:after="0" w:afterAutospacing="0" w:line="360" w:lineRule="auto"/>
        <w:ind w:right="0"/>
        <w:jc w:val="both"/>
        <w:rPr>
          <w:rFonts w:hint="eastAsia" w:ascii="宋体" w:hAnsi="宋体" w:eastAsia="宋体" w:cs="宋体"/>
          <w:kern w:val="2"/>
          <w:sz w:val="24"/>
          <w:szCs w:val="24"/>
          <w:lang w:val="en-US" w:eastAsia="zh-CN" w:bidi="ar"/>
        </w:rPr>
      </w:pPr>
    </w:p>
    <w:p w14:paraId="282E7E13">
      <w:pPr>
        <w:keepNext w:val="0"/>
        <w:keepLines w:val="0"/>
        <w:widowControl w:val="0"/>
        <w:suppressLineNumbers w:val="0"/>
        <w:snapToGrid w:val="0"/>
        <w:spacing w:before="0" w:beforeAutospacing="0" w:after="0" w:afterAutospacing="0" w:line="360" w:lineRule="auto"/>
        <w:ind w:right="0"/>
        <w:jc w:val="both"/>
        <w:rPr>
          <w:rFonts w:hint="eastAsia" w:ascii="宋体" w:hAnsi="宋体" w:eastAsia="宋体" w:cs="宋体"/>
          <w:kern w:val="2"/>
          <w:sz w:val="24"/>
          <w:szCs w:val="24"/>
          <w:lang w:val="en-US" w:eastAsia="zh-CN" w:bidi="ar"/>
        </w:rPr>
      </w:pPr>
    </w:p>
    <w:p w14:paraId="7A040C84">
      <w:pPr>
        <w:ind w:firstLine="0" w:firstLineChars="0"/>
        <w:rPr>
          <w:rFonts w:hint="eastAsia" w:ascii="Times New Roman" w:hAnsi="Times New Roman"/>
          <w:b/>
          <w:bCs/>
          <w:sz w:val="21"/>
          <w:szCs w:val="21"/>
          <w:lang w:val="en-US" w:eastAsia="zh-CN"/>
        </w:rPr>
      </w:pPr>
    </w:p>
    <w:p w14:paraId="767F8C67">
      <w:pPr>
        <w:ind w:firstLine="0" w:firstLineChars="0"/>
        <w:rPr>
          <w:rFonts w:hint="eastAsia" w:ascii="黑体" w:hAnsi="黑体" w:eastAsia="黑体" w:cs="黑体"/>
          <w:b/>
          <w:bCs/>
          <w:sz w:val="28"/>
          <w:szCs w:val="28"/>
          <w:lang w:val="en-US" w:eastAsia="zh-CN"/>
        </w:rPr>
      </w:pPr>
      <w:r>
        <w:rPr>
          <w:rFonts w:hint="eastAsia" w:ascii="黑体" w:hAnsi="黑体" w:eastAsia="黑体" w:cs="黑体"/>
          <w:b/>
          <w:bCs/>
          <w:sz w:val="28"/>
          <w:szCs w:val="28"/>
          <w:lang w:val="en-US" w:eastAsia="zh-CN"/>
        </w:rPr>
        <w:t>附件2</w:t>
      </w:r>
    </w:p>
    <w:p w14:paraId="715CE7EC">
      <w:pPr>
        <w:ind w:firstLine="0" w:firstLineChars="0"/>
        <w:jc w:val="center"/>
        <w:rPr>
          <w:rFonts w:hint="eastAsia" w:ascii="宋体" w:hAnsi="宋体" w:eastAsia="宋体" w:cs="宋体"/>
          <w:kern w:val="2"/>
          <w:sz w:val="28"/>
          <w:szCs w:val="28"/>
          <w:lang w:val="en-US" w:eastAsia="zh-CN" w:bidi="ar"/>
        </w:rPr>
      </w:pPr>
      <w:r>
        <w:rPr>
          <w:rFonts w:hint="eastAsia" w:ascii="宋体" w:hAnsi="宋体"/>
          <w:b/>
          <w:sz w:val="32"/>
          <w:szCs w:val="32"/>
          <w:lang w:val="en-US" w:eastAsia="zh-CN"/>
        </w:rPr>
        <w:t>项目研究报告</w:t>
      </w:r>
    </w:p>
    <w:p w14:paraId="2E15F7A2">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一、研究背景（限500字）</w:t>
      </w:r>
    </w:p>
    <w:p w14:paraId="6B16302B">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二、研究目的（限200字）</w:t>
      </w:r>
    </w:p>
    <w:p w14:paraId="0CEE7179">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三、主要创新点（作品自主原创内容，包括但不限于作品中原创代码算法、核心技术亮点等，提炼其中1-2项核心技术亮点进行重点分析。限800字）</w:t>
      </w:r>
    </w:p>
    <w:p w14:paraId="2536C01C">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四、作品实现过程（作品完成过程中的探索经历，包括发现问题、解决问题、迭代更新等过程及案例。限2000字）</w:t>
      </w:r>
    </w:p>
    <w:p w14:paraId="33DCBF3B">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五、作品成果（包括外观图片、功能介绍、演示效果等，并提供必要的使用说明。限1000字）(初赛可选择性提交)</w:t>
      </w:r>
    </w:p>
    <w:p w14:paraId="5E8D16A0">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六、作品测试情况（作品技术评测或用户测试情况。限800字）(初赛可选择性提交)</w:t>
      </w:r>
    </w:p>
    <w:p w14:paraId="2F89CB41">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方正仿宋_GBK" w:hAnsi="方正仿宋_GBK" w:eastAsia="方正仿宋_GBK" w:cs="方正仿宋_GBK"/>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七、总结与展望（对研究的成果和不足进行总结，对未来的改进和发展进行展望。限500字）</w:t>
      </w:r>
    </w:p>
    <w:p w14:paraId="75B70DDF">
      <w:pPr>
        <w:keepNext w:val="0"/>
        <w:keepLines w:val="0"/>
        <w:widowControl w:val="0"/>
        <w:suppressLineNumbers w:val="0"/>
        <w:snapToGrid w:val="0"/>
        <w:spacing w:before="156" w:beforeLines="50" w:beforeAutospacing="0" w:after="156" w:afterLines="50" w:afterAutospacing="0" w:line="360" w:lineRule="auto"/>
        <w:ind w:left="0" w:right="0" w:firstLine="574" w:firstLineChars="200"/>
        <w:jc w:val="both"/>
        <w:rPr>
          <w:rFonts w:hint="eastAsia" w:ascii="宋体" w:hAnsi="宋体" w:eastAsia="宋体" w:cs="宋体"/>
          <w:kern w:val="2"/>
          <w:sz w:val="28"/>
          <w:szCs w:val="28"/>
          <w:lang w:val="en-US" w:eastAsia="zh-CN" w:bidi="ar"/>
        </w:rPr>
      </w:pPr>
      <w:r>
        <w:rPr>
          <w:rFonts w:hint="eastAsia" w:ascii="方正仿宋_GBK" w:hAnsi="方正仿宋_GBK" w:eastAsia="方正仿宋_GBK" w:cs="方正仿宋_GBK"/>
          <w:kern w:val="2"/>
          <w:sz w:val="28"/>
          <w:szCs w:val="28"/>
          <w:lang w:val="en-US" w:eastAsia="zh-CN" w:bidi="ar"/>
        </w:rPr>
        <w:t>八、团队成员介绍和工作分工说明（限500字）</w:t>
      </w:r>
      <w:bookmarkStart w:id="7" w:name="_GoBack"/>
      <w:bookmarkEnd w:id="7"/>
    </w:p>
    <w:p w14:paraId="648573AD">
      <w:pPr>
        <w:keepNext w:val="0"/>
        <w:keepLines w:val="0"/>
        <w:widowControl w:val="0"/>
        <w:suppressLineNumbers w:val="0"/>
        <w:snapToGrid w:val="0"/>
        <w:spacing w:before="0" w:beforeAutospacing="0" w:after="0" w:afterAutospacing="0" w:line="360" w:lineRule="auto"/>
        <w:ind w:right="0"/>
        <w:jc w:val="both"/>
        <w:rPr>
          <w:rFonts w:hint="eastAsia" w:ascii="宋体" w:hAnsi="宋体" w:eastAsia="宋体" w:cs="宋体"/>
          <w:kern w:val="2"/>
          <w:sz w:val="28"/>
          <w:szCs w:val="28"/>
          <w:lang w:val="en-US" w:eastAsia="zh-CN" w:bidi="ar"/>
        </w:rPr>
      </w:pPr>
    </w:p>
    <w:p w14:paraId="5B43EC16">
      <w:pPr>
        <w:keepNext w:val="0"/>
        <w:keepLines w:val="0"/>
        <w:widowControl w:val="0"/>
        <w:suppressLineNumbers w:val="0"/>
        <w:snapToGrid w:val="0"/>
        <w:spacing w:before="0" w:beforeAutospacing="0" w:after="0" w:afterAutospacing="0" w:line="360" w:lineRule="auto"/>
        <w:ind w:right="0"/>
        <w:jc w:val="both"/>
        <w:rPr>
          <w:rFonts w:hint="eastAsia" w:ascii="宋体" w:hAnsi="宋体" w:eastAsia="宋体" w:cs="宋体"/>
          <w:kern w:val="2"/>
          <w:sz w:val="24"/>
          <w:szCs w:val="24"/>
          <w:lang w:val="en-US" w:eastAsia="zh-CN" w:bidi="ar"/>
        </w:rPr>
      </w:pPr>
    </w:p>
    <w:p w14:paraId="13E38260"/>
    <w:sectPr>
      <w:pgSz w:w="11906" w:h="16838"/>
      <w:pgMar w:top="2098" w:right="1474" w:bottom="1984" w:left="1587" w:header="851" w:footer="1417" w:gutter="0"/>
      <w:cols w:space="0" w:num="1"/>
      <w:rtlGutter w:val="0"/>
      <w:docGrid w:type="linesAndChars" w:linePitch="439" w:charSpace="155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Bradley Hand ITC">
    <w:panose1 w:val="03070402050302030203"/>
    <w:charset w:val="00"/>
    <w:family w:val="auto"/>
    <w:pitch w:val="default"/>
    <w:sig w:usb0="00000003" w:usb1="00000000" w:usb2="00000000" w:usb3="00000000" w:csb0="20000001"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方正仿宋_GB2312">
    <w:panose1 w:val="02000000000000000000"/>
    <w:charset w:val="86"/>
    <w:family w:val="auto"/>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方正仿宋_GBK">
    <w:panose1 w:val="02000000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85009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171450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ACD16B">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3.5pt;height:144pt;width:144pt;mso-position-horizontal:outside;mso-position-horizontal-relative:margin;mso-wrap-style:none;z-index:251659264;mso-width-relative:page;mso-height-relative:page;" filled="f" stroked="f" coordsize="21600,21600" o:gfxdata="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MR43nVAAAABwEAAA8AAAAAAAAAAQAgAAAAIgAAAGRycy9kb3ducmV2LnhtbFBL&#10;AQIUABQAAAAIAIdO4kB/jq0RMgIAAGEEAAAOAAAAAAAAAAEAIAAAACQBAABkcnMvZTJvRG9jLnht&#10;bFBLBQYAAAAABgAGAFkBAADIBQAAAAA=&#10;">
              <v:fill on="f" focussize="0,0"/>
              <v:stroke on="f" weight="0.5pt"/>
              <v:imagedata o:title=""/>
              <o:lock v:ext="edit" aspectratio="f"/>
              <v:textbox inset="0mm,0mm,0mm,0mm" style="mso-fit-shape-to-text:t;">
                <w:txbxContent>
                  <w:p w14:paraId="51ACD16B">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2"/>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9623A7"/>
    <w:rsid w:val="099623A7"/>
    <w:rsid w:val="11362784"/>
    <w:rsid w:val="19A20405"/>
    <w:rsid w:val="47907B68"/>
    <w:rsid w:val="4A3D19A7"/>
    <w:rsid w:val="52CC0713"/>
    <w:rsid w:val="61CB4463"/>
    <w:rsid w:val="67F1512B"/>
    <w:rsid w:val="7C033D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heme="minorBidi"/>
      <w:sz w:val="22"/>
      <w:szCs w:val="22"/>
      <w:lang w:val="en-US" w:eastAsia="zh-CN" w:bidi="ar-SA"/>
    </w:rPr>
  </w:style>
  <w:style w:type="paragraph" w:styleId="2">
    <w:name w:val="heading 2"/>
    <w:basedOn w:val="1"/>
    <w:next w:val="1"/>
    <w:unhideWhenUsed/>
    <w:qFormat/>
    <w:uiPriority w:val="0"/>
    <w:pPr>
      <w:keepNext/>
      <w:keepLines/>
      <w:widowControl w:val="0"/>
      <w:suppressLineNumbers w:val="0"/>
      <w:spacing w:before="0" w:beforeLines="100" w:beforeAutospacing="0" w:after="0" w:afterAutospacing="1" w:line="412" w:lineRule="auto"/>
      <w:ind w:firstLine="0" w:firstLineChars="0"/>
      <w:jc w:val="left"/>
      <w:outlineLvl w:val="1"/>
    </w:pPr>
    <w:rPr>
      <w:rFonts w:hint="default" w:ascii="Arial" w:hAnsi="Arial" w:eastAsia="黑体" w:cs="Arial"/>
      <w:b/>
      <w:bCs/>
      <w:color w:val="000000"/>
      <w:kern w:val="2"/>
      <w:sz w:val="24"/>
      <w:szCs w:val="24"/>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spacing w:line="240" w:lineRule="auto"/>
      <w:jc w:val="left"/>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云南省科学技术协会</Company>
  <Pages>10</Pages>
  <Words>0</Words>
  <Characters>0</Characters>
  <Lines>0</Lines>
  <Paragraphs>0</Paragraphs>
  <TotalTime>0</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2025-05-16T08:44:00Z</dcterms:created>
  <dc:creator>阿花</dc:creator>
  <cp:lastModifiedBy>阿花</cp:lastModifiedBy>
  <dcterms:modified xsi:type="dcterms:W3CDTF">2025-05-16T08:45:20Z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BD9E9F856D104566925DE2C60D0D797F_11</vt:lpwstr>
  </property>
  <property fmtid="{D5CDD505-2E9C-101B-9397-08002B2CF9AE}" pid="4" name="KSOTemplateDocerSaveRecord">
    <vt:lpwstr>eyJoZGlkIjoiMTI1NjcxNTExMzcwODc0NjlhM2JiNTBmYTRiMDMzOTMiLCJ1c2VySWQiOiI1NzE1MzQ3NjcifQ==</vt:lpwstr>
  </property>
</Properties>
</file>