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left"/>
        <w:rPr>
          <w:rFonts w:hint="eastAsia" w:ascii="宋体" w:hAnsi="宋体" w:cs="宋体"/>
          <w:b/>
          <w:bCs/>
          <w:sz w:val="44"/>
          <w:szCs w:val="44"/>
        </w:rPr>
      </w:pPr>
      <w:r>
        <w:rPr>
          <w:rFonts w:hint="eastAsia" w:ascii="仿宋" w:hAnsi="仿宋" w:eastAsia="仿宋" w:cs="仿宋"/>
          <w:sz w:val="24"/>
          <w:szCs w:val="24"/>
        </w:rPr>
        <w:t>附件1：</w:t>
      </w:r>
    </w:p>
    <w:p>
      <w:pPr>
        <w:spacing w:line="480" w:lineRule="exact"/>
        <w:jc w:val="center"/>
        <w:rPr>
          <w:rFonts w:hint="eastAsia" w:ascii="宋体" w:hAnsi="宋体" w:cs="宋体"/>
          <w:b/>
          <w:bCs/>
          <w:sz w:val="44"/>
          <w:szCs w:val="44"/>
        </w:rPr>
      </w:pPr>
    </w:p>
    <w:p>
      <w:pPr>
        <w:spacing w:line="480" w:lineRule="exact"/>
        <w:jc w:val="center"/>
        <w:rPr>
          <w:rFonts w:hint="eastAsia" w:ascii="宋体" w:hAnsi="宋体" w:cs="宋体"/>
          <w:b/>
          <w:bCs/>
          <w:sz w:val="44"/>
          <w:szCs w:val="44"/>
        </w:rPr>
      </w:pPr>
      <w:bookmarkStart w:id="0" w:name="_GoBack"/>
      <w:r>
        <w:rPr>
          <w:rFonts w:hint="eastAsia" w:ascii="宋体" w:hAnsi="宋体" w:cs="宋体"/>
          <w:b/>
          <w:bCs/>
          <w:sz w:val="44"/>
          <w:szCs w:val="44"/>
        </w:rPr>
        <w:t>第二届云南省科技馆辅导员大赛比赛规则</w:t>
      </w:r>
    </w:p>
    <w:bookmarkEnd w:id="0"/>
    <w:p>
      <w:pPr>
        <w:ind w:firstLine="562" w:firstLineChars="200"/>
        <w:rPr>
          <w:rFonts w:hint="eastAsia" w:ascii="仿宋" w:hAnsi="仿宋" w:eastAsia="仿宋" w:cs="仿宋"/>
          <w:b/>
          <w:bCs/>
          <w:sz w:val="28"/>
          <w:szCs w:val="28"/>
        </w:rPr>
      </w:pPr>
    </w:p>
    <w:p>
      <w:pPr>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一、比赛内容</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（一）展品辅导</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展品辅导为个人赛，分单件展品辅导和主题串联辅导（含辅导思路解析）两个环节。每个单位推荐人数不得超过5人。</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1.单件展品辅导（若干）</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本环节所有选手以抽签方式按顺序进行比赛，共分两个阶段。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第一阶段：每位选手自选展品（需为所在场馆实际展出的展品）进行辅导。选手可使用现场提供的小黑板、A4纸、笔等进行辅助辅导。每位限时4分钟，不足时间不扣分，超时扣0.5分。本阶段满分98分。</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选手需自行准备自选展品PPT（仅限于照片2-3 张，禁止出现或暗示所在个人信息以及场馆信息）。</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第二阶段：所有选手辅导结束后，进行知识问答比赛。本阶段共10道必答题，每答对一题得0.2分，满分2分，每道题限时30秒作答，答错或超时未答题不得分。</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选手第一阶段和第二阶段得分累加后为本环节最后得分经以上两个阶段比赛后，总成绩前16名进入第二环节，未进入第二环节的选手获三等奖。</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2.主题串联辅导（16 名）</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所有选手分为2组，每组8人，通过抽签确定顺序。每组1号选手代表本组，在比赛前1小时随机抽取1个辅导材料，同一组选手依序各延时10分钟获得该辅导材料。选手需明确辅导主题， 从大赛组委会给定的展品库中自选展品，开展现场辅导。所选展品数量不限，鼓励串联辅导。</w:t>
      </w:r>
    </w:p>
    <w:p>
      <w:pPr>
        <w:ind w:firstLine="560" w:firstLineChars="200"/>
        <w:rPr>
          <w:rFonts w:hint="eastAsia" w:ascii="仿宋" w:hAnsi="仿宋" w:eastAsia="仿宋" w:cs="仿宋"/>
          <w:sz w:val="28"/>
          <w:szCs w:val="28"/>
          <w:lang w:val="zh-CN"/>
        </w:rPr>
      </w:pPr>
      <w:r>
        <w:rPr>
          <w:rFonts w:hint="eastAsia" w:ascii="仿宋" w:hAnsi="仿宋" w:eastAsia="仿宋" w:cs="仿宋"/>
          <w:sz w:val="28"/>
          <w:szCs w:val="28"/>
          <w:lang w:val="zh-CN"/>
        </w:rPr>
        <w:t>比赛开始后选手先进行辅导思路解析，阐述内容包括但不限于辅导对象、所涉展品、核心概念、辅导形式、切入思路、辅导 过程、创新点及预期效果等。随后结合给定展品库中的相关展品进行主题式串联辅导。</w:t>
      </w:r>
    </w:p>
    <w:p>
      <w:pPr>
        <w:ind w:firstLine="560" w:firstLineChars="200"/>
        <w:rPr>
          <w:rFonts w:hint="eastAsia" w:ascii="仿宋" w:hAnsi="仿宋" w:eastAsia="仿宋" w:cs="仿宋"/>
          <w:sz w:val="28"/>
          <w:szCs w:val="28"/>
          <w:lang w:val="zh-CN"/>
        </w:rPr>
      </w:pPr>
      <w:r>
        <w:rPr>
          <w:rFonts w:hint="eastAsia" w:ascii="仿宋" w:hAnsi="仿宋" w:eastAsia="仿宋" w:cs="仿宋"/>
          <w:sz w:val="28"/>
          <w:szCs w:val="28"/>
          <w:lang w:val="zh-CN"/>
        </w:rPr>
        <w:t>选手辅导过程中，鼓励参赛选手合理设置与受众的互动交流。每人限时</w:t>
      </w:r>
      <w:r>
        <w:rPr>
          <w:rFonts w:hint="eastAsia" w:ascii="仿宋" w:hAnsi="仿宋" w:eastAsia="仿宋" w:cs="仿宋"/>
          <w:sz w:val="28"/>
          <w:szCs w:val="28"/>
        </w:rPr>
        <w:t>10</w:t>
      </w:r>
      <w:r>
        <w:rPr>
          <w:rFonts w:hint="eastAsia" w:ascii="仿宋" w:hAnsi="仿宋" w:eastAsia="仿宋" w:cs="仿宋"/>
          <w:sz w:val="28"/>
          <w:szCs w:val="28"/>
          <w:lang w:val="zh-CN"/>
        </w:rPr>
        <w:t>分钟，不足时间不扣分，超时即停，不扣分。比赛现场为黑板、A4 纸、笔等材料。</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此环节结束后每组第1名“云南省金牌科技辅导员”荣誉称号，每组前2名选手获一等奖，排名3-8名的选手获二等奖。</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（二）科学表演</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科学表演为团体赛，设科学实验和其他科学表演两大类。“科学实验”类上台选手不得超过4人（含），“其他科学表演”类上台选手不得超过8人（含）。</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1.科学实验</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科学实验”项目要适合在展厅面向公众进行表演。实验内容要能够激发公众的好奇心与想象力，有相应实验或制作过程，能够表达或展示明确的科学原理或现象。实验操作符合安全规范，尽量不使用明火以及具有腐蚀性或有毒有害的化学药品。确需使用的，参赛团队须负责实验安全，对道具及场地做好相应防护。</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每个节目限时8分钟，不足时间不扣分，超时扣1分。</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所有选手统一着实验服大褂（颜色自选），可有适当肢体动作表演。</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参赛项目仅限使用 PPT（可含分段视频或动画）辅助，不能使用舞台灯光渲染气氛（不包括场灯和面灯的正常使用和暗场），不能全程视频和配乐并将其作为科学实验的核心内容。</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项目主要道具占地不得超过2米*1.2米*2米的范围。</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该项目每个馆仅限于一部参赛作品。</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2.其他科学表演</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其他科学表演”指除科学实验之外的表现形式，如科普剧、科学秀和能够表现科学内涵的其他艺术形式。参赛项目须围绕科学家精神、前沿科技或公共安全健康教育三个主题开展，要有明确的科学内涵、较强的艺术表现力，同时鼓励内容和形式创新。</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每个节目限时8分钟，不足时间不扣分，超时扣1分。</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参赛项目可使用大屏幕（如PPT、视频）、音乐、音效为辅助表演手段，但不允许以视频、音乐、音效为主要表现形式。比赛强调现场表演，以语言或者演唱为主要表现手段的作品，禁止通过提前录音的方式进行表演。</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该项目每个馆仅限于一部参赛作品。</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（三）教育活动资源包</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教育活动资源包展评，重在考察参赛人员围绕科技馆的展品、面向不同观众群体开发设计多种类教育活动的能力。资源包须有明确教学对象（年级或年龄段）并结合科技馆展览展品进行设计，时长以30-45分钟为宜。资源包应包括活动教案、活动教具（科技辅导员教学使用）、活动视频（活动过程实况视频）、活动套材包（活动中受众使用的实体资源包）等，活动教案需在报到时提交至大赛组委会。参赛项目须为选送场馆自有知识产权作品，每支参赛队伍最多由1名项目负责人及3名成员组成。</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本项目采用现场答辩形式进行，并在现场对参赛作品进行集中展示。评审将围绕教育理念、教学设计、教学方法、科学性、创新性、趣味性、可推广性及现场答辩表现等方面进行，阐述内容包括但不限于活动设计思路、教育理念、参与互动过程、教具演示、套材包使用和活动效果等。现场答辩总时长为15分钟，其中现场陈述8分钟，专家提问7分钟。</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该项目每个馆仅限于一部参赛作品。</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特别提醒：以往参加过国家级或中国科协系统组织的类似展评或比赛的获奖项目不得参赛，如有违规，一经核实，取消参赛资格。</w:t>
      </w:r>
    </w:p>
    <w:p>
      <w:pPr>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二、奖项设置</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本次大赛奖项设置如下：</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（一）展品辅导</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展品辅导赛设一等奖、二等奖、三等奖及云南省金牌科技辅导员称号。</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云南省金牌科技辅导员称号：2名</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一等奖：4名</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二等奖：12名</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三等奖：若干</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（二）科学表演</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“科学实验”和“其他科学表演”分别设一等奖、二等奖和三等奖，所有奖项依据团队得分或评议排名确定。</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一等奖：1个</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二等奖：2个</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三等奖：若干</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（三）教育活动资源包</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教育活动资源包设一等奖、二等奖和三等奖，所有奖项依据得分或评议排名确定。</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一等奖：1 个</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二等奖：2个</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三等奖：若干</w:t>
      </w:r>
    </w:p>
    <w:p>
      <w:pPr>
        <w:pStyle w:val="2"/>
        <w:ind w:left="210" w:right="210"/>
        <w:rPr>
          <w:rFonts w:eastAsia="仿宋"/>
          <w:b w:val="0"/>
          <w:bCs w:val="0"/>
          <w:sz w:val="28"/>
          <w:szCs w:val="28"/>
        </w:rPr>
      </w:pPr>
      <w:r>
        <w:rPr>
          <w:rFonts w:hint="eastAsia" w:ascii="仿宋" w:hAnsi="仿宋" w:eastAsia="仿宋" w:cs="仿宋"/>
          <w:b w:val="0"/>
          <w:bCs w:val="0"/>
          <w:sz w:val="28"/>
          <w:szCs w:val="28"/>
        </w:rPr>
        <w:t>以上奖项均可空缺。</w:t>
      </w:r>
    </w:p>
    <w:p>
      <w:pPr>
        <w:pStyle w:val="2"/>
        <w:ind w:left="210" w:right="210"/>
      </w:pPr>
    </w:p>
    <w:p>
      <w:pPr>
        <w:pStyle w:val="2"/>
        <w:ind w:left="0" w:leftChars="0" w:right="210"/>
      </w:pPr>
    </w:p>
    <w:p>
      <w:pPr>
        <w:rPr>
          <w:rFonts w:hint="eastAsia"/>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18"/>
          <w:szCs w:val="18"/>
        </w:rPr>
      </w:pPr>
    </w:p>
    <w:p>
      <w:pPr>
        <w:pStyle w:val="2"/>
        <w:ind w:left="210" w:right="210"/>
        <w:rPr>
          <w:rFonts w:hint="eastAsia" w:ascii="仿宋" w:hAnsi="仿宋" w:eastAsia="仿宋" w:cs="仿宋"/>
          <w:sz w:val="18"/>
          <w:szCs w:val="18"/>
        </w:rPr>
      </w:pPr>
    </w:p>
    <w:p>
      <w:pPr>
        <w:rPr>
          <w:rFonts w:hint="eastAsia" w:ascii="仿宋" w:hAnsi="仿宋" w:eastAsia="仿宋" w:cs="仿宋"/>
          <w:sz w:val="18"/>
          <w:szCs w:val="18"/>
        </w:rPr>
      </w:pPr>
    </w:p>
    <w:p>
      <w:pPr>
        <w:rPr>
          <w:rFonts w:hint="eastAsia" w:ascii="仿宋" w:hAnsi="仿宋" w:eastAsia="仿宋" w:cs="仿宋"/>
          <w:sz w:val="24"/>
          <w:szCs w:val="24"/>
        </w:rPr>
      </w:pPr>
    </w:p>
    <w:p>
      <w:pPr>
        <w:rPr>
          <w:rFonts w:hint="eastAsia" w:ascii="仿宋" w:hAnsi="仿宋" w:eastAsia="仿宋" w:cs="仿宋"/>
          <w:sz w:val="24"/>
          <w:szCs w:val="24"/>
        </w:rPr>
      </w:pPr>
    </w:p>
    <w:p>
      <w:pPr>
        <w:rPr>
          <w:rFonts w:hint="eastAsia" w:ascii="仿宋" w:hAnsi="仿宋" w:eastAsia="仿宋" w:cs="仿宋"/>
          <w:sz w:val="24"/>
          <w:szCs w:val="24"/>
        </w:rPr>
      </w:pPr>
    </w:p>
    <w:p>
      <w:pPr>
        <w:rPr>
          <w:rFonts w:hint="eastAsia" w:ascii="仿宋" w:hAnsi="仿宋" w:eastAsia="仿宋" w:cs="仿宋"/>
          <w:sz w:val="24"/>
          <w:szCs w:val="24"/>
        </w:rPr>
      </w:pPr>
    </w:p>
    <w:p>
      <w:pPr>
        <w:rPr>
          <w:rFonts w:hint="eastAsia" w:ascii="仿宋" w:hAnsi="仿宋" w:eastAsia="仿宋" w:cs="仿宋"/>
          <w:sz w:val="24"/>
          <w:szCs w:val="24"/>
        </w:rPr>
      </w:pPr>
    </w:p>
    <w:p/>
    <w:sectPr>
      <w:pgSz w:w="11906" w:h="16838"/>
      <w:pgMar w:top="2098" w:right="1474" w:bottom="1984" w:left="1587"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1020BB"/>
    <w:rsid w:val="1D1020BB"/>
    <w:rsid w:val="25855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qFormat/>
    <w:uiPriority w:val="0"/>
    <w:pPr>
      <w:keepNext/>
      <w:keepLines/>
      <w:spacing w:before="260" w:beforeLines="0" w:after="260" w:afterLines="0" w:line="360" w:lineRule="auto"/>
      <w:ind w:left="420" w:leftChars="100" w:right="100" w:rightChars="100"/>
      <w:outlineLvl w:val="1"/>
    </w:pPr>
    <w:rPr>
      <w:rFonts w:ascii="Arial" w:hAnsi="Arial" w:eastAsia="黑体"/>
      <w:b/>
      <w:bCs/>
      <w:sz w:val="30"/>
      <w:szCs w:val="32"/>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2021-06-17T09:41:00Z</dcterms:created>
  <dc:creator>WPS_1559695661</dc:creator>
  <cp:lastModifiedBy>WPS_1559695661</cp:lastModifiedBy>
  <dcterms:modified xsi:type="dcterms:W3CDTF">2021-06-17T09:42:11Z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93BD4B5F974D4F11AFB02798F32ADCBA</vt:lpwstr>
  </property>
</Properties>
</file>