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ind w:firstLine="0" w:firstLineChars="0"/>
        <w:rPr>
          <w:rFonts w:hint="eastAsia" w:ascii="黑体" w:hAnsi="黑体" w:eastAsia="黑体"/>
        </w:rPr>
      </w:pPr>
      <w:r>
        <w:rPr>
          <w:rFonts w:hint="eastAsia" w:ascii="黑体" w:hAnsi="黑体" w:eastAsia="黑体"/>
        </w:rPr>
        <w:t>附件3</w:t>
      </w:r>
    </w:p>
    <w:p>
      <w:pPr>
        <w:pStyle w:val="5"/>
        <w:spacing w:before="579" w:beforeLines="100" w:after="1158" w:afterLines="200"/>
        <w:ind w:firstLine="0" w:firstLineChars="0"/>
        <w:jc w:val="center"/>
        <w:rPr>
          <w:rFonts w:hint="eastAsia" w:ascii="文鼎CS大宋" w:hAnsi="宋体" w:eastAsia="文鼎CS大宋"/>
          <w:sz w:val="44"/>
          <w:szCs w:val="44"/>
        </w:rPr>
      </w:pPr>
      <w:r>
        <w:rPr>
          <w:rFonts w:hint="eastAsia" w:ascii="文鼎CS大宋" w:hAnsi="宋体" w:eastAsia="文鼎CS大宋"/>
          <w:sz w:val="44"/>
          <w:szCs w:val="44"/>
        </w:rPr>
        <w:t>云南省“科普小镇”实施方案</w:t>
      </w:r>
    </w:p>
    <w:p>
      <w:pPr>
        <w:pStyle w:val="5"/>
        <w:ind w:firstLine="640"/>
        <w:rPr>
          <w:rFonts w:hint="eastAsia" w:ascii="宋体" w:hAnsi="宋体"/>
        </w:rPr>
      </w:pPr>
      <w:r>
        <w:rPr>
          <w:rFonts w:hint="eastAsia" w:ascii="宋体" w:hAnsi="宋体"/>
        </w:rPr>
        <w:t>为深入贯彻落实党的十九大精神，助力乡村振兴战略实施，适应新型城镇化快速发展形势，推进科普信息化、产业化建设，切实提升我省公民科学素质水平。省科协、省财政厅决定组织实施云南省“科普小镇”计划，为确保计划的顺利实施，特制定本方案。</w:t>
      </w:r>
    </w:p>
    <w:p>
      <w:pPr>
        <w:pStyle w:val="6"/>
        <w:ind w:firstLine="640"/>
        <w:rPr>
          <w:rFonts w:hint="eastAsia"/>
        </w:rPr>
      </w:pPr>
      <w:r>
        <w:rPr>
          <w:rFonts w:hint="eastAsia"/>
        </w:rPr>
        <w:t>一、指导思想</w:t>
      </w:r>
    </w:p>
    <w:p>
      <w:pPr>
        <w:pStyle w:val="5"/>
        <w:ind w:firstLine="640"/>
        <w:rPr>
          <w:rFonts w:hint="eastAsia" w:ascii="宋体" w:hAnsi="宋体"/>
        </w:rPr>
      </w:pPr>
      <w:r>
        <w:rPr>
          <w:rFonts w:hint="eastAsia" w:ascii="宋体" w:hAnsi="宋体"/>
        </w:rPr>
        <w:t>以邓小平理论、“三个代表”重要思想、科学发展观和习近平新时代中国特色社会主义思想为指导，以《全民科学素质行动计划纲要》为主线，以科技创新为导向，以科普信息化为手段，着力增强小城镇公共科普资源供给和服务，提升城乡居民科学素质，推动城乡综合协调发展和一体化进程。</w:t>
      </w:r>
    </w:p>
    <w:p>
      <w:pPr>
        <w:pStyle w:val="6"/>
        <w:ind w:firstLine="640"/>
        <w:rPr>
          <w:rFonts w:hint="eastAsia"/>
        </w:rPr>
      </w:pPr>
      <w:r>
        <w:rPr>
          <w:rFonts w:hint="eastAsia"/>
        </w:rPr>
        <w:t>二、总体目标</w:t>
      </w:r>
    </w:p>
    <w:p>
      <w:pPr>
        <w:pStyle w:val="5"/>
        <w:ind w:firstLine="640"/>
        <w:rPr>
          <w:rFonts w:hint="eastAsia" w:ascii="宋体" w:hAnsi="宋体"/>
        </w:rPr>
      </w:pPr>
      <w:r>
        <w:rPr>
          <w:rFonts w:hint="eastAsia" w:ascii="宋体" w:hAnsi="宋体"/>
        </w:rPr>
        <w:t>科普小镇指拥有一定土地和人口经济规模，集聚特色产业，通过科普手段促进生产、生活、生态空间相融合的行政建制镇（乡）或产业园区。按照“联合协作、分类指导、以点带面、突出重点”的原则，充分整合社会各界科技资源，补强中小城镇科普公共服务的薄弱环节。按照“三生改变三观”的理念,通过构建科学的生产方式、生活方式、生存环境，使公众树立科学的人生观、价值观、世界观。通过完善科普基础设施，培养专业科普人才队伍，提升科普信息化水平，稳步推进城镇科普公共服务常住人口全覆盖，不断提高城镇居民科学文化素质，辐射带动农村居民科学素质整体持续提升，使全体居民共享现代化建设成果。</w:t>
      </w:r>
    </w:p>
    <w:p>
      <w:pPr>
        <w:pStyle w:val="6"/>
        <w:ind w:firstLine="640"/>
        <w:rPr>
          <w:rFonts w:hint="eastAsia"/>
        </w:rPr>
      </w:pPr>
      <w:r>
        <w:rPr>
          <w:rFonts w:hint="eastAsia"/>
        </w:rPr>
        <w:t>三、实施内容</w:t>
      </w:r>
    </w:p>
    <w:p>
      <w:pPr>
        <w:pStyle w:val="5"/>
        <w:ind w:firstLine="640"/>
        <w:rPr>
          <w:rFonts w:hint="eastAsia" w:ascii="宋体" w:hAnsi="宋体"/>
        </w:rPr>
      </w:pPr>
      <w:r>
        <w:rPr>
          <w:rFonts w:hint="eastAsia" w:ascii="宋体" w:hAnsi="宋体"/>
        </w:rPr>
        <w:t>围绕培养新型农民、提升城乡居民科学素质的工作重心，以普及实用技术、服务产业提升、完善科普公共服务为切入点，广泛营造科学氛围、弘扬科学精神、传播科学思想、倡导科学方法、普及科学知识。主要围绕“九个一”重点内容组织实施：</w:t>
      </w:r>
    </w:p>
    <w:p>
      <w:pPr>
        <w:pStyle w:val="5"/>
        <w:ind w:firstLine="640"/>
        <w:rPr>
          <w:rFonts w:hint="eastAsia" w:ascii="宋体" w:hAnsi="宋体"/>
        </w:rPr>
      </w:pPr>
      <w:r>
        <w:rPr>
          <w:rStyle w:val="7"/>
          <w:rFonts w:hint="eastAsia"/>
        </w:rPr>
        <w:t>（一）扶持建立一个产业协会。</w:t>
      </w:r>
      <w:r>
        <w:rPr>
          <w:rFonts w:hint="eastAsia" w:ascii="宋体" w:hAnsi="宋体"/>
        </w:rPr>
        <w:t>支持建立1个乡镇农民合作组织（农村专业技术协会、联合会、合作社），扶持1项特色产业发展，带动一批农民增收。加强对乡镇农技协工作的规范管理和分类指导，推动农民合作组织技术交流服务向技术经济合作转型，打通农产品网上销售、流通、配送渠道，形成技术、生产、市场为一体的联合运行机制。</w:t>
      </w:r>
    </w:p>
    <w:p>
      <w:pPr>
        <w:pStyle w:val="5"/>
        <w:ind w:firstLine="640"/>
        <w:rPr>
          <w:rFonts w:hint="eastAsia" w:ascii="宋体" w:hAnsi="宋体"/>
        </w:rPr>
      </w:pPr>
      <w:r>
        <w:rPr>
          <w:rStyle w:val="7"/>
          <w:rFonts w:hint="eastAsia"/>
        </w:rPr>
        <w:t>（二）建设一个微型科技场馆。</w:t>
      </w:r>
      <w:r>
        <w:rPr>
          <w:rFonts w:hint="eastAsia" w:ascii="宋体" w:hAnsi="宋体"/>
        </w:rPr>
        <w:t>因地制宜建设一批具有地方文化特色的袖珍科技馆、科普活动站、农村中学科技馆。通过固定场馆、交互式展教设备、流动科普设施和数字服务，努力提高科普服务的受众面和覆盖范围。</w:t>
      </w:r>
    </w:p>
    <w:p>
      <w:pPr>
        <w:pStyle w:val="5"/>
        <w:ind w:firstLine="640"/>
        <w:rPr>
          <w:rFonts w:hint="eastAsia" w:ascii="宋体" w:hAnsi="宋体"/>
        </w:rPr>
      </w:pPr>
      <w:r>
        <w:rPr>
          <w:rStyle w:val="7"/>
          <w:rFonts w:hint="eastAsia"/>
        </w:rPr>
        <w:t>（三）组织开展一系列科普活动。</w:t>
      </w:r>
      <w:r>
        <w:rPr>
          <w:rFonts w:hint="eastAsia" w:ascii="宋体" w:hAnsi="宋体"/>
        </w:rPr>
        <w:t>充分利用流动科技馆、科普大篷车等非固定科普展教资源，采取联合协作的方式，与当地科技、教育、文化、宣传等部门密切配合，每年至少开展一次流动科普巡展活动。为当地群众特别是青少年提供免费的科学教育服务。利用全国科普日、科技活动周、“三下乡”活动、当地传统节庆等时机，大力开展经常性科普文化活动，加快科学知识在边远、贫困地区的传播速度和覆盖广度，树立科学、文明、健康的社会风尚。</w:t>
      </w:r>
    </w:p>
    <w:p>
      <w:pPr>
        <w:pStyle w:val="5"/>
        <w:ind w:firstLine="640"/>
        <w:rPr>
          <w:rFonts w:hint="eastAsia" w:ascii="宋体" w:hAnsi="宋体"/>
        </w:rPr>
      </w:pPr>
      <w:r>
        <w:rPr>
          <w:rStyle w:val="7"/>
          <w:rFonts w:hint="eastAsia"/>
        </w:rPr>
        <w:t>（四）建立一个科普E站。</w:t>
      </w:r>
      <w:r>
        <w:rPr>
          <w:rFonts w:hint="eastAsia" w:ascii="宋体" w:hAnsi="宋体"/>
        </w:rPr>
        <w:t>坚持“五有”（有网络、有场所、有终端、有活动、有人员）建设标准，依托当地已有基础网络、阅读终端和文化活动场所等设施，在小镇中心区域至少建设一个科普e站，向城乡居民免费提供农业科技、科学生活、市场供销、扶贫惠农政策等数据信息。</w:t>
      </w:r>
    </w:p>
    <w:p>
      <w:pPr>
        <w:pStyle w:val="5"/>
        <w:ind w:firstLine="640"/>
        <w:rPr>
          <w:rFonts w:hint="eastAsia" w:ascii="宋体" w:hAnsi="宋体"/>
        </w:rPr>
      </w:pPr>
      <w:r>
        <w:rPr>
          <w:rStyle w:val="7"/>
          <w:rFonts w:hint="eastAsia"/>
        </w:rPr>
        <w:t>（五）培养一支科普人才队伍。</w:t>
      </w:r>
      <w:r>
        <w:rPr>
          <w:rFonts w:hint="eastAsia" w:ascii="宋体" w:hAnsi="宋体"/>
        </w:rPr>
        <w:t>从现有乡镇科协秘书长、科技干事、大学生村官、乡村教师、农科人员中动员、发展、培训一批热心科普公益事业的科普宣传员，承担当地日常科普宣传工作，实现基层科普宣传常态化。有条件的可建立科普文艺宣传队，围绕党委、政府的中心工作，利用民族节庆活动和赶集的时机，以群众喜闻乐见的形式，开展科普宣传活动，拓宽科普宣传新途径。</w:t>
      </w:r>
    </w:p>
    <w:p>
      <w:pPr>
        <w:pStyle w:val="5"/>
        <w:ind w:firstLine="640"/>
        <w:rPr>
          <w:rFonts w:hint="eastAsia" w:ascii="宋体" w:hAnsi="宋体"/>
        </w:rPr>
      </w:pPr>
      <w:r>
        <w:rPr>
          <w:rStyle w:val="7"/>
          <w:rFonts w:hint="eastAsia"/>
        </w:rPr>
        <w:t>（六）建立一个专家工作站。</w:t>
      </w:r>
      <w:r>
        <w:rPr>
          <w:rFonts w:hint="eastAsia" w:ascii="宋体" w:hAnsi="宋体"/>
        </w:rPr>
        <w:t>依托省级学会、高校、科研院所等专家资源，针对当地发展需求，按照“科学性、实效性”的原则，开展科技培训和咨询服务，为当地居民普及医疗健康、防灾减灾、绿色环保、实用技术等基本生活常识。选取具备一定条件和规模的乡镇企业、农技协、市场经营主体建立专家工作站。利用科技智力资源和专业人员优势帮助企业解决战略发展方向和关键技术难题，培育创新人才队伍，加速科技成果转化和产业化，进一步提升乡镇企业技术创新的能力，优化当地产业发展。</w:t>
      </w:r>
    </w:p>
    <w:p>
      <w:pPr>
        <w:pStyle w:val="5"/>
        <w:ind w:firstLine="640"/>
        <w:rPr>
          <w:rFonts w:hint="eastAsia" w:ascii="宋体" w:hAnsi="宋体"/>
        </w:rPr>
      </w:pPr>
      <w:r>
        <w:rPr>
          <w:rStyle w:val="7"/>
          <w:rFonts w:hint="eastAsia"/>
        </w:rPr>
        <w:t>（七）创建一所科普示范学校。</w:t>
      </w:r>
      <w:r>
        <w:rPr>
          <w:rFonts w:hint="eastAsia" w:ascii="宋体" w:hAnsi="宋体"/>
        </w:rPr>
        <w:t>以提升青少年科学素质为目标，选择当地具备条件的中小学创建科普示范学校。利用校园室内场地，配备完整的科普展教设备，培养青少年对科学知识的浓厚兴趣，在课堂内外潜移默化提高科学素质。</w:t>
      </w:r>
    </w:p>
    <w:p>
      <w:pPr>
        <w:pStyle w:val="5"/>
        <w:ind w:firstLine="640"/>
        <w:rPr>
          <w:rFonts w:hint="eastAsia" w:ascii="宋体" w:hAnsi="宋体"/>
        </w:rPr>
      </w:pPr>
      <w:r>
        <w:rPr>
          <w:rStyle w:val="7"/>
          <w:rFonts w:hint="eastAsia"/>
        </w:rPr>
        <w:t>（八）培训一批新型农民。</w:t>
      </w:r>
      <w:r>
        <w:rPr>
          <w:rFonts w:hint="eastAsia" w:ascii="宋体" w:hAnsi="宋体"/>
        </w:rPr>
        <w:t>以农村致富函授大学办学点为主要阵地，面向外出务工人员开展职业技能培训，增强生产技能和自身维权意识；面向农村劳动者开展农业适用技能培训，使参训者至少掌握1-2项致富实用技术和技能。在农技协会员中选择“有文化、懂技术、会经营、守法纪”的部分优秀代表进行重点扶持，培育成新型职业农民的带头人。</w:t>
      </w:r>
    </w:p>
    <w:p>
      <w:pPr>
        <w:pStyle w:val="5"/>
        <w:ind w:firstLine="640"/>
        <w:rPr>
          <w:rFonts w:hint="eastAsia" w:ascii="宋体" w:hAnsi="宋体"/>
        </w:rPr>
      </w:pPr>
      <w:r>
        <w:rPr>
          <w:rStyle w:val="7"/>
          <w:rFonts w:hint="eastAsia"/>
        </w:rPr>
        <w:t>（九）打造一项特色科普工作。</w:t>
      </w:r>
      <w:r>
        <w:rPr>
          <w:rFonts w:hint="eastAsia" w:ascii="宋体" w:hAnsi="宋体"/>
        </w:rPr>
        <w:t>各地结合实际，通过双语科普、民俗科普等形式拓宽科普工作渠道，促进地域民族文化与科普工作充分融合，因地制宜，打造一项具有地域特点、民族特色的科普品牌工作。</w:t>
      </w:r>
    </w:p>
    <w:p>
      <w:pPr>
        <w:pStyle w:val="6"/>
        <w:ind w:firstLine="640"/>
        <w:rPr>
          <w:rFonts w:hint="eastAsia"/>
        </w:rPr>
      </w:pPr>
      <w:r>
        <w:rPr>
          <w:rFonts w:hint="eastAsia"/>
        </w:rPr>
        <w:t>四、经费预算</w:t>
      </w:r>
    </w:p>
    <w:p>
      <w:pPr>
        <w:pStyle w:val="5"/>
        <w:ind w:firstLine="640"/>
        <w:rPr>
          <w:rFonts w:hint="eastAsia" w:ascii="宋体" w:hAnsi="宋体"/>
        </w:rPr>
      </w:pPr>
      <w:r>
        <w:rPr>
          <w:rFonts w:hint="eastAsia" w:ascii="宋体" w:hAnsi="宋体"/>
        </w:rPr>
        <w:t>“科普小镇”单个试点项目经费安排结构如下：</w:t>
      </w:r>
    </w:p>
    <w:p>
      <w:pPr>
        <w:pStyle w:val="5"/>
        <w:ind w:firstLine="640"/>
        <w:rPr>
          <w:rFonts w:hint="eastAsia" w:ascii="宋体" w:hAnsi="宋体"/>
        </w:rPr>
      </w:pPr>
      <w:r>
        <w:rPr>
          <w:rFonts w:hint="eastAsia" w:ascii="宋体" w:hAnsi="宋体"/>
        </w:rPr>
        <w:t>（一）科普基础设施建设30万元；</w:t>
      </w:r>
    </w:p>
    <w:p>
      <w:pPr>
        <w:pStyle w:val="5"/>
        <w:ind w:firstLine="640"/>
        <w:rPr>
          <w:rFonts w:hint="eastAsia" w:ascii="宋体" w:hAnsi="宋体"/>
        </w:rPr>
      </w:pPr>
      <w:r>
        <w:rPr>
          <w:rFonts w:hint="eastAsia" w:ascii="宋体" w:hAnsi="宋体"/>
        </w:rPr>
        <w:t>（二）产业发展支持10万元；</w:t>
      </w:r>
    </w:p>
    <w:p>
      <w:pPr>
        <w:pStyle w:val="5"/>
        <w:ind w:firstLine="640"/>
        <w:rPr>
          <w:rFonts w:hint="eastAsia" w:ascii="宋体" w:hAnsi="宋体"/>
        </w:rPr>
      </w:pPr>
      <w:r>
        <w:rPr>
          <w:rFonts w:hint="eastAsia" w:ascii="宋体" w:hAnsi="宋体"/>
        </w:rPr>
        <w:t>（三）各类人群科普培训5万元；</w:t>
      </w:r>
    </w:p>
    <w:p>
      <w:pPr>
        <w:pStyle w:val="5"/>
        <w:ind w:firstLine="640"/>
        <w:rPr>
          <w:rFonts w:hint="eastAsia" w:ascii="宋体" w:hAnsi="宋体"/>
        </w:rPr>
      </w:pPr>
      <w:r>
        <w:rPr>
          <w:rFonts w:hint="eastAsia" w:ascii="宋体" w:hAnsi="宋体"/>
        </w:rPr>
        <w:t>（四）系列科普活动5万元。</w:t>
      </w:r>
    </w:p>
    <w:p>
      <w:pPr>
        <w:pStyle w:val="5"/>
        <w:ind w:firstLine="640"/>
        <w:rPr>
          <w:rFonts w:hint="eastAsia" w:ascii="宋体" w:hAnsi="宋体"/>
        </w:rPr>
      </w:pPr>
      <w:r>
        <w:rPr>
          <w:rFonts w:hint="eastAsia" w:ascii="宋体" w:hAnsi="宋体"/>
        </w:rPr>
        <w:t>以上内容合计50万元，根据项目点实际情况，各项经费支出可以调剂使用，通过专项转移支付的方式拨付项目实施地科协。各地应根据实际，整合资源，投入相应经费和人力共同组织实施。</w:t>
      </w:r>
    </w:p>
    <w:p>
      <w:pPr>
        <w:pStyle w:val="6"/>
        <w:ind w:firstLine="640"/>
        <w:rPr>
          <w:rFonts w:hint="eastAsia"/>
        </w:rPr>
      </w:pPr>
      <w:r>
        <w:rPr>
          <w:rFonts w:hint="eastAsia"/>
        </w:rPr>
        <w:t>五、运行保障</w:t>
      </w:r>
    </w:p>
    <w:p>
      <w:pPr>
        <w:pStyle w:val="5"/>
        <w:ind w:firstLine="640"/>
        <w:rPr>
          <w:rFonts w:hint="eastAsia" w:ascii="宋体" w:hAnsi="宋体"/>
        </w:rPr>
      </w:pPr>
      <w:r>
        <w:rPr>
          <w:rStyle w:val="7"/>
          <w:rFonts w:hint="eastAsia"/>
        </w:rPr>
        <w:t>（一）加强工作领导。</w:t>
      </w:r>
      <w:r>
        <w:rPr>
          <w:rFonts w:hint="eastAsia" w:ascii="宋体" w:hAnsi="宋体"/>
        </w:rPr>
        <w:t>省、市、县三级高度重视，加强领导，上下联动，把“科普小镇”试点工作纳入三级科协科普工作的重要内容。省科协和省财政厅将联合成立云南省科普小镇实施工作领导小组，办公室设在省科协。领导小组负责统筹规划、组织协调项目实施中的重大问题，并根据任务分工督促成员单位认真履行职责，对项目资金进行跟踪问效。</w:t>
      </w:r>
    </w:p>
    <w:p>
      <w:pPr>
        <w:pStyle w:val="5"/>
        <w:ind w:firstLine="640"/>
        <w:rPr>
          <w:rFonts w:hint="eastAsia" w:ascii="宋体" w:hAnsi="宋体"/>
        </w:rPr>
      </w:pPr>
      <w:r>
        <w:rPr>
          <w:rStyle w:val="7"/>
          <w:rFonts w:hint="eastAsia"/>
        </w:rPr>
        <w:t>（三）严格经费监管。</w:t>
      </w:r>
      <w:r>
        <w:rPr>
          <w:rFonts w:hint="eastAsia" w:ascii="宋体" w:hAnsi="宋体"/>
        </w:rPr>
        <w:t>“科普小镇”项目以县级科协为实施主体，经费从每年的省级科普专项经费和基层科普行动计划对下转移支付部分中支出。省科协统筹分配额度，州市科协做好协调和指导，县级科协填报项目经费预算。经费拨付到位后，县级科协须按照项目内容和经费管理规定，及时、认真组织项目实施，确保实现项目的预期绩效。</w:t>
      </w:r>
    </w:p>
    <w:p>
      <w:pPr>
        <w:pStyle w:val="5"/>
        <w:ind w:firstLine="640"/>
        <w:rPr>
          <w:rFonts w:hint="eastAsia" w:ascii="宋体" w:hAnsi="宋体"/>
        </w:rPr>
      </w:pPr>
      <w:r>
        <w:rPr>
          <w:rStyle w:val="7"/>
          <w:rFonts w:hint="eastAsia"/>
        </w:rPr>
        <w:t>（三）加强绩效考核。</w:t>
      </w:r>
      <w:r>
        <w:rPr>
          <w:rFonts w:hint="eastAsia" w:ascii="宋体" w:hAnsi="宋体"/>
        </w:rPr>
        <w:t>试点项目采用层层分级负责的方式进行管理。云南省科普小镇实施工作领导小组确定试点名额和分配原则，同时下达项目绩效目标。市科协负责督促指导，县级科协按照项目绩效目标具体组织项目实施。项目完成后，县级科协联合乡镇写出《项目实施总结》和《项目绩效报告》。报州（市）科协，由州（市）科协组织验收，省科协、省财政厅对部分项目进行绩效考核，考核结果将与“基层科普行动计划”和云南省科普专项经费绩效指标紧密挂钩，作为安排下一年度经费的重要依据。</w:t>
      </w:r>
    </w:p>
    <w:p>
      <w:pPr>
        <w:pStyle w:val="5"/>
        <w:ind w:firstLine="640"/>
        <w:rPr>
          <w:rFonts w:hint="eastAsia" w:ascii="宋体" w:hAnsi="宋体"/>
        </w:rPr>
      </w:pPr>
      <w:r>
        <w:rPr>
          <w:rStyle w:val="7"/>
          <w:rFonts w:hint="eastAsia"/>
        </w:rPr>
        <w:t>（四）做好宣传动员。</w:t>
      </w:r>
      <w:r>
        <w:rPr>
          <w:rFonts w:hint="eastAsia" w:ascii="宋体" w:hAnsi="宋体"/>
        </w:rPr>
        <w:t>设计制作全省统一的“科普小镇”形象标识，拓宽创新科普宣传渠道，充分利用大众传媒和互联网新媒体做好宣传动员工作，扩大项目实施影响力和显示度，着力打造具有云南特色的科普品牌。</w:t>
      </w:r>
    </w:p>
    <w:p>
      <w:pPr>
        <w:pStyle w:val="5"/>
        <w:ind w:firstLine="640"/>
        <w:rPr>
          <w:rFonts w:hint="eastAsia" w:hAnsi="仿宋"/>
          <w:szCs w:val="32"/>
        </w:rPr>
      </w:pPr>
    </w:p>
    <w:p>
      <w:pPr>
        <w:pStyle w:val="5"/>
        <w:ind w:firstLine="640"/>
        <w:rPr>
          <w:rFonts w:hint="eastAsia" w:ascii="宋体" w:hAnsi="宋体"/>
        </w:rPr>
      </w:pPr>
    </w:p>
    <w:p>
      <w:pPr>
        <w:pStyle w:val="5"/>
        <w:ind w:firstLine="640"/>
        <w:rPr>
          <w:rFonts w:hint="eastAsia" w:ascii="宋体" w:hAnsi="宋体"/>
        </w:rPr>
      </w:pPr>
    </w:p>
    <w:p>
      <w:pPr>
        <w:pStyle w:val="5"/>
        <w:ind w:firstLine="640"/>
        <w:rPr>
          <w:rFonts w:hint="eastAsia" w:ascii="宋体" w:hAnsi="宋体"/>
        </w:rPr>
      </w:pPr>
    </w:p>
    <w:p>
      <w:pPr>
        <w:pStyle w:val="5"/>
        <w:ind w:firstLine="640"/>
        <w:rPr>
          <w:rFonts w:hint="eastAsia" w:ascii="宋体" w:hAnsi="宋体"/>
        </w:rPr>
      </w:pPr>
    </w:p>
    <w:p>
      <w:pPr>
        <w:pStyle w:val="5"/>
        <w:ind w:firstLine="640"/>
        <w:rPr>
          <w:rFonts w:hint="eastAsia" w:ascii="宋体" w:hAnsi="宋体"/>
        </w:rPr>
      </w:pPr>
    </w:p>
    <w:p>
      <w:pPr>
        <w:pStyle w:val="5"/>
        <w:ind w:firstLine="640"/>
        <w:rPr>
          <w:rFonts w:hint="eastAsia" w:ascii="宋体" w:hAnsi="宋体"/>
        </w:rPr>
      </w:pPr>
    </w:p>
    <w:p>
      <w:pPr>
        <w:pStyle w:val="5"/>
        <w:ind w:firstLine="640"/>
        <w:rPr>
          <w:rFonts w:hint="eastAsia" w:ascii="宋体" w:hAnsi="宋体"/>
        </w:rPr>
      </w:pPr>
    </w:p>
    <w:p>
      <w:pPr>
        <w:pStyle w:val="5"/>
        <w:ind w:firstLine="640"/>
        <w:rPr>
          <w:rFonts w:hint="eastAsia" w:ascii="宋体" w:hAnsi="宋体"/>
        </w:rPr>
      </w:pPr>
    </w:p>
    <w:p>
      <w:pPr>
        <w:pStyle w:val="5"/>
        <w:ind w:firstLine="640"/>
        <w:rPr>
          <w:rFonts w:hint="eastAsia" w:ascii="宋体" w:hAnsi="宋体"/>
        </w:rPr>
      </w:pPr>
    </w:p>
    <w:p>
      <w:pPr>
        <w:pStyle w:val="5"/>
        <w:ind w:firstLine="640"/>
        <w:rPr>
          <w:rFonts w:ascii="宋体" w:hAnsi="宋体"/>
        </w:rPr>
      </w:pPr>
    </w:p>
    <w:p>
      <w:pPr>
        <w:pStyle w:val="5"/>
        <w:pBdr>
          <w:top w:val="single" w:color="auto" w:sz="6" w:space="0"/>
          <w:bottom w:val="single" w:color="auto" w:sz="6" w:space="0"/>
        </w:pBdr>
        <w:ind w:firstLine="320" w:firstLineChars="100"/>
        <w:rPr>
          <w:rFonts w:ascii="宋体" w:hAnsi="宋体"/>
          <w:sz w:val="28"/>
          <w:szCs w:val="28"/>
        </w:rPr>
      </w:pPr>
      <w:r>
        <w:drawing>
          <wp:anchor distT="0" distB="0" distL="114300" distR="114300" simplePos="0" relativeHeight="251658240" behindDoc="0" locked="0" layoutInCell="1" allowOverlap="1">
            <wp:simplePos x="0" y="0"/>
            <wp:positionH relativeFrom="column">
              <wp:posOffset>3606165</wp:posOffset>
            </wp:positionH>
            <wp:positionV relativeFrom="paragraph">
              <wp:posOffset>507365</wp:posOffset>
            </wp:positionV>
            <wp:extent cx="1790700" cy="457200"/>
            <wp:effectExtent l="0" t="0" r="0" b="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1790700" cy="457200"/>
                    </a:xfrm>
                    <a:prstGeom prst="rect">
                      <a:avLst/>
                    </a:prstGeom>
                    <a:noFill/>
                    <a:ln w="9525">
                      <a:noFill/>
                    </a:ln>
                  </pic:spPr>
                </pic:pic>
              </a:graphicData>
            </a:graphic>
          </wp:anchor>
        </w:drawing>
      </w:r>
      <w:r>
        <w:rPr>
          <w:rFonts w:hint="eastAsia" w:ascii="宋体" w:hAnsi="宋体"/>
          <w:sz w:val="28"/>
          <w:szCs w:val="28"/>
        </w:rPr>
        <w:t xml:space="preserve">云南省科学技术协会办公室　　            </w:t>
      </w:r>
      <w:r>
        <w:rPr>
          <w:rFonts w:ascii="宋体" w:hAnsi="宋体"/>
          <w:sz w:val="28"/>
          <w:szCs w:val="28"/>
        </w:rPr>
        <w:t>2019年3月1日</w:t>
      </w:r>
      <w:r>
        <w:rPr>
          <w:rFonts w:hint="eastAsia" w:ascii="宋体" w:hAnsi="宋体"/>
          <w:sz w:val="28"/>
          <w:szCs w:val="28"/>
        </w:rPr>
        <w:t>印发</w:t>
      </w:r>
    </w:p>
    <w:p>
      <w:bookmarkStart w:id="0" w:name="_GoBack"/>
      <w:bookmarkEnd w:id="0"/>
    </w:p>
    <w:sectPr>
      <w:footerReference r:id="rId3" w:type="default"/>
      <w:footerReference r:id="rId4" w:type="even"/>
      <w:pgSz w:w="11906" w:h="16838"/>
      <w:pgMar w:top="2098" w:right="1531" w:bottom="1985" w:left="1531" w:header="1418" w:footer="1418" w:gutter="0"/>
      <w:cols w:space="425" w:num="1"/>
      <w:docGrid w:type="lines" w:linePitch="57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文鼎CS大宋">
    <w:altName w:val="宋体"/>
    <w:panose1 w:val="0201060901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napToGrid/>
      <w:ind w:right="210" w:rightChars="100"/>
      <w:jc w:val="right"/>
      <w:rPr>
        <w:rFonts w:ascii="Times New Roman" w:hAnsi="Times New Roman"/>
        <w:sz w:val="28"/>
      </w:rPr>
    </w:pPr>
    <w:r>
      <w:rPr>
        <w:rFonts w:hint="eastAsia" w:ascii="Times New Roman" w:hAnsi="Times New Roman"/>
        <w:kern w:val="0"/>
        <w:sz w:val="28"/>
        <w:szCs w:val="21"/>
      </w:rPr>
      <w:t>—</w:t>
    </w:r>
    <w:r>
      <w:rPr>
        <w:rFonts w:ascii="Times New Roman" w:hAnsi="Times New Roman"/>
        <w:kern w:val="0"/>
        <w:sz w:val="28"/>
        <w:szCs w:val="21"/>
      </w:rPr>
      <w:t xml:space="preserve"> </w:t>
    </w:r>
    <w:r>
      <w:rPr>
        <w:rFonts w:ascii="Times New Roman" w:hAnsi="Times New Roman"/>
        <w:kern w:val="0"/>
        <w:sz w:val="28"/>
        <w:szCs w:val="21"/>
      </w:rPr>
      <w:fldChar w:fldCharType="begin"/>
    </w:r>
    <w:r>
      <w:rPr>
        <w:rFonts w:ascii="Times New Roman" w:hAnsi="Times New Roman"/>
        <w:kern w:val="0"/>
        <w:sz w:val="28"/>
        <w:szCs w:val="21"/>
      </w:rPr>
      <w:instrText xml:space="preserve"> PAGE </w:instrText>
    </w:r>
    <w:r>
      <w:rPr>
        <w:rFonts w:ascii="Times New Roman" w:hAnsi="Times New Roman"/>
        <w:kern w:val="0"/>
        <w:sz w:val="28"/>
        <w:szCs w:val="21"/>
      </w:rPr>
      <w:fldChar w:fldCharType="separate"/>
    </w:r>
    <w:r>
      <w:rPr>
        <w:rFonts w:ascii="Times New Roman" w:hAnsi="Times New Roman"/>
        <w:kern w:val="0"/>
        <w:sz w:val="28"/>
        <w:szCs w:val="21"/>
      </w:rPr>
      <w:t>1</w:t>
    </w:r>
    <w:r>
      <w:rPr>
        <w:rFonts w:ascii="Times New Roman" w:hAnsi="Times New Roman"/>
        <w:kern w:val="0"/>
        <w:sz w:val="28"/>
        <w:szCs w:val="21"/>
      </w:rPr>
      <w:fldChar w:fldCharType="end"/>
    </w:r>
    <w:r>
      <w:rPr>
        <w:rFonts w:ascii="Times New Roman" w:hAnsi="Times New Roman"/>
        <w:kern w:val="0"/>
        <w:sz w:val="28"/>
        <w:szCs w:val="21"/>
      </w:rPr>
      <w:t xml:space="preserve"> </w:t>
    </w:r>
    <w:r>
      <w:rPr>
        <w:rFonts w:hint="eastAsia" w:ascii="Times New Roman" w:hAnsi="Times New Roman"/>
        <w:kern w:val="0"/>
        <w:sz w:val="28"/>
        <w:szCs w:val="21"/>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napToGrid/>
      <w:ind w:left="210" w:leftChars="100"/>
      <w:rPr>
        <w:rFonts w:ascii="Times New Roman" w:hAnsi="Times New Roman"/>
        <w:sz w:val="28"/>
      </w:rPr>
    </w:pPr>
    <w:r>
      <w:rPr>
        <w:rFonts w:hint="eastAsia" w:ascii="Times New Roman" w:hAnsi="Times New Roman"/>
        <w:kern w:val="0"/>
        <w:sz w:val="28"/>
        <w:szCs w:val="21"/>
      </w:rPr>
      <w:t>—</w:t>
    </w:r>
    <w:r>
      <w:rPr>
        <w:rFonts w:ascii="Times New Roman" w:hAnsi="Times New Roman"/>
        <w:kern w:val="0"/>
        <w:sz w:val="28"/>
        <w:szCs w:val="21"/>
      </w:rPr>
      <w:t xml:space="preserve"> </w:t>
    </w:r>
    <w:r>
      <w:rPr>
        <w:rFonts w:ascii="Times New Roman" w:hAnsi="Times New Roman"/>
        <w:kern w:val="0"/>
        <w:sz w:val="28"/>
        <w:szCs w:val="21"/>
      </w:rPr>
      <w:fldChar w:fldCharType="begin"/>
    </w:r>
    <w:r>
      <w:rPr>
        <w:rFonts w:ascii="Times New Roman" w:hAnsi="Times New Roman"/>
        <w:kern w:val="0"/>
        <w:sz w:val="28"/>
        <w:szCs w:val="21"/>
      </w:rPr>
      <w:instrText xml:space="preserve"> PAGE </w:instrText>
    </w:r>
    <w:r>
      <w:rPr>
        <w:rFonts w:ascii="Times New Roman" w:hAnsi="Times New Roman"/>
        <w:kern w:val="0"/>
        <w:sz w:val="28"/>
        <w:szCs w:val="21"/>
      </w:rPr>
      <w:fldChar w:fldCharType="separate"/>
    </w:r>
    <w:r>
      <w:rPr>
        <w:rFonts w:ascii="Times New Roman" w:hAnsi="Times New Roman"/>
        <w:kern w:val="0"/>
        <w:sz w:val="28"/>
        <w:szCs w:val="21"/>
      </w:rPr>
      <w:t>2</w:t>
    </w:r>
    <w:r>
      <w:rPr>
        <w:rFonts w:ascii="Times New Roman" w:hAnsi="Times New Roman"/>
        <w:kern w:val="0"/>
        <w:sz w:val="28"/>
        <w:szCs w:val="21"/>
      </w:rPr>
      <w:fldChar w:fldCharType="end"/>
    </w:r>
    <w:r>
      <w:rPr>
        <w:rFonts w:ascii="Times New Roman" w:hAnsi="Times New Roman"/>
        <w:kern w:val="0"/>
        <w:sz w:val="28"/>
        <w:szCs w:val="21"/>
      </w:rPr>
      <w:t xml:space="preserve"> </w:t>
    </w:r>
    <w:r>
      <w:rPr>
        <w:rFonts w:hint="eastAsia" w:ascii="Times New Roman" w:hAnsi="Times New Roman"/>
        <w:kern w:val="0"/>
        <w:sz w:val="28"/>
        <w:szCs w:val="21"/>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64C2A7A"/>
    <w:rsid w:val="664C2A7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paragraph" w:customStyle="1" w:styleId="5">
    <w:name w:val="公文正文"/>
    <w:basedOn w:val="1"/>
    <w:qFormat/>
    <w:uiPriority w:val="0"/>
    <w:pPr>
      <w:topLinePunct/>
      <w:ind w:firstLine="200" w:firstLineChars="200"/>
    </w:pPr>
    <w:rPr>
      <w:rFonts w:ascii="仿宋" w:hAnsi="Times New Roman" w:eastAsia="仿宋" w:cs="Times New Roman"/>
      <w:sz w:val="32"/>
    </w:rPr>
  </w:style>
  <w:style w:type="paragraph" w:customStyle="1" w:styleId="6">
    <w:name w:val="标题1"/>
    <w:basedOn w:val="5"/>
    <w:qFormat/>
    <w:uiPriority w:val="0"/>
    <w:rPr>
      <w:rFonts w:ascii="宋体" w:hAnsi="宋体" w:eastAsia="黑体"/>
    </w:rPr>
  </w:style>
  <w:style w:type="character" w:customStyle="1" w:styleId="7">
    <w:name w:val="标题2 Char"/>
    <w:link w:val="8"/>
    <w:uiPriority w:val="0"/>
    <w:rPr>
      <w:rFonts w:ascii="宋体" w:hAnsi="宋体" w:eastAsia="楷体"/>
    </w:rPr>
  </w:style>
  <w:style w:type="paragraph" w:customStyle="1" w:styleId="8">
    <w:name w:val="标题2"/>
    <w:basedOn w:val="5"/>
    <w:link w:val="7"/>
    <w:qFormat/>
    <w:uiPriority w:val="0"/>
    <w:rPr>
      <w:rFonts w:ascii="宋体" w:hAnsi="宋体" w:eastAsia="楷体"/>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2019-03-04T03:03:00Z</dcterms:created>
  <dc:creator>Administrator</dc:creator>
  <cp:lastModifiedBy>Administrator</cp:lastModifiedBy>
  <dcterms:modified xsi:type="dcterms:W3CDTF">2019-03-04T03:03:36Z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