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ind w:firstLine="0" w:firstLineChars="0"/>
        <w:rPr>
          <w:rFonts w:hint="eastAsia" w:ascii="黑体" w:hAnsi="宋体" w:eastAsia="黑体"/>
        </w:rPr>
      </w:pPr>
      <w:r>
        <w:rPr>
          <w:rFonts w:hint="eastAsia" w:ascii="黑体" w:hAnsi="宋体" w:eastAsia="黑体"/>
        </w:rPr>
        <w:t>附件2</w:t>
      </w:r>
    </w:p>
    <w:p>
      <w:pPr>
        <w:pStyle w:val="6"/>
        <w:spacing w:before="579" w:beforeLines="100" w:after="1158" w:afterLines="200"/>
        <w:ind w:firstLine="0" w:firstLineChars="0"/>
        <w:jc w:val="center"/>
        <w:rPr>
          <w:rFonts w:hint="eastAsia"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2017年云南省“全国科技工作者日”</w:t>
      </w:r>
      <w:r>
        <w:rPr>
          <w:rFonts w:ascii="文鼎CS大宋" w:hAnsi="宋体" w:eastAsia="文鼎CS大宋"/>
          <w:sz w:val="44"/>
          <w:szCs w:val="44"/>
        </w:rPr>
        <w:br w:type="textWrapping"/>
      </w:r>
      <w:r>
        <w:rPr>
          <w:rFonts w:hint="eastAsia" w:ascii="文鼎CS大宋" w:hAnsi="宋体" w:eastAsia="文鼎CS大宋"/>
          <w:sz w:val="44"/>
          <w:szCs w:val="44"/>
        </w:rPr>
        <w:t>活动方案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宋体" w:hAnsi="宋体"/>
        </w:rPr>
        <w:t>为进一步加强对科技工作者的联系和服务，鼓励广大科技工作者牢记使命责任，促进科技工作者和人才队伍建设，进一步在全社会营造关心科技工作者、尊重科技工作者，尊重知识、尊重人才的良好社会氛围，在首届“全国科技工作者日”来临之际，制定我省“全国科技工作者日”活动方案，具体如下：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黑体" w:hAnsi="宋体" w:eastAsia="黑体"/>
        </w:rPr>
        <w:t>一、全省科协、科技局系统联动开展</w:t>
      </w:r>
      <w:r>
        <w:rPr>
          <w:rFonts w:hint="eastAsia" w:ascii="黑体" w:hAnsi="宋体" w:eastAsia="黑体"/>
          <w:bCs/>
        </w:rPr>
        <w:t>“全国科技工作者日”</w:t>
      </w:r>
      <w:r>
        <w:rPr>
          <w:rFonts w:hint="eastAsia" w:ascii="黑体" w:hAnsi="宋体" w:eastAsia="黑体"/>
        </w:rPr>
        <w:t>活动。</w:t>
      </w:r>
      <w:r>
        <w:rPr>
          <w:rFonts w:hint="eastAsia" w:ascii="宋体" w:hAnsi="宋体"/>
        </w:rPr>
        <w:t>5月10日前下发通知到16个州市科协、科技局，125个省级学会及有关高校科协、企业科协，上下联动开展好2017年“全国科技工作者日”活动，对各单位开展得效果较好、较有创意的活动经验进行总结和推广。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黑体" w:hAnsi="宋体" w:eastAsia="黑体"/>
        </w:rPr>
        <w:t>二、共同开展好科技活动周和科技三下乡活动，发挥“同频共振”效果。</w:t>
      </w:r>
      <w:r>
        <w:rPr>
          <w:rFonts w:hint="eastAsia" w:ascii="宋体" w:hAnsi="宋体"/>
        </w:rPr>
        <w:t>一是围绕2017年“全国科技工作者日”，在全省开展以“科技强国、创新圆梦”为主题的科技活动周，积极开展群众性科学技术活动和科普系列活动。二是以“我们的家园——香格里拉五月传统赛马暨文化科技卫生‘三下乡’活动集中示范活动”为基础，深入基层一线开展“科普大篷车联合行动”和“全国科技工作者日”宣传活动，让社会公众特别是基层一线科技工作者认识“全国科技工作者日”的意义，进一步扩大活动的受益面和影响力。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黑体" w:hAnsi="宋体" w:eastAsia="黑体"/>
        </w:rPr>
        <w:t>三、组织科技专家进校园宣讲中国科技故事，弘扬科技工作者精神。</w:t>
      </w:r>
      <w:r>
        <w:rPr>
          <w:rFonts w:hint="eastAsia" w:ascii="宋体" w:hAnsi="宋体"/>
        </w:rPr>
        <w:t>做好与“2017年云南省高校百场形势政策报告会”活动的协调和衔接，邀请我省知名科技专家在5月下旬走进云南高校，做《中国科技新进展》的专题报告，讲中国科技和科技人的故事。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黑体" w:hAnsi="宋体" w:eastAsia="黑体"/>
        </w:rPr>
        <w:t>四、配合“全国科技工作者日”活动组织学会活动。</w:t>
      </w:r>
      <w:r>
        <w:rPr>
          <w:rFonts w:hint="eastAsia" w:ascii="宋体" w:hAnsi="宋体"/>
        </w:rPr>
        <w:t>为迎接</w:t>
      </w:r>
      <w:r>
        <w:rPr>
          <w:rFonts w:hint="eastAsia" w:ascii="宋体" w:hAnsi="宋体"/>
          <w:bCs/>
        </w:rPr>
        <w:t>“全国科技工作者日”</w:t>
      </w:r>
      <w:r>
        <w:rPr>
          <w:rFonts w:hint="eastAsia" w:ascii="宋体" w:hAnsi="宋体"/>
        </w:rPr>
        <w:t>活动，5月中旬召开全省学会工作会议。一是宣传“全国科技工作者日”活动的重要意义；二是组织学习习近平总书记关于科技创新的系列重要讲话，特别是在“科技三会”上的重要讲话精神；三是对优秀学会和科技工作者进行表彰；四是省科协、省科技厅领导与学会工作者、科技工作者座谈，听取意见建议，进一步提升服务学会、服务科技工作者的能力和途径，以实际行动共同庆祝科技工作者自己的节日。</w:t>
      </w:r>
    </w:p>
    <w:p>
      <w:pPr>
        <w:pStyle w:val="6"/>
        <w:ind w:firstLine="640"/>
        <w:rPr>
          <w:rFonts w:ascii="宋体" w:hAnsi="宋体"/>
          <w:bCs/>
        </w:rPr>
      </w:pPr>
      <w:r>
        <w:rPr>
          <w:rFonts w:hint="eastAsia" w:ascii="黑体" w:hAnsi="宋体" w:eastAsia="黑体"/>
        </w:rPr>
        <w:t>五、利用新闻网站、微信公众号加强宣传、进一步营造氛围。</w:t>
      </w:r>
      <w:r>
        <w:rPr>
          <w:rFonts w:hint="eastAsia" w:ascii="宋体" w:hAnsi="宋体"/>
        </w:rPr>
        <w:t>发挥省科协、省科技厅官网及“云南科普网”“美丽云南微科普”等科技传媒的作用，加大宣传力度和活动力度。通过省科协学会“科信飞”QQ群向省级学会科技工作者送上节日问候，进一步</w:t>
      </w:r>
      <w:r>
        <w:rPr>
          <w:rFonts w:hint="eastAsia" w:ascii="宋体" w:hAnsi="宋体"/>
          <w:bCs/>
        </w:rPr>
        <w:t>营造</w:t>
      </w:r>
      <w:r>
        <w:rPr>
          <w:rFonts w:hint="eastAsia" w:ascii="宋体" w:hAnsi="宋体"/>
        </w:rPr>
        <w:t>“全国科技工作者日”活动</w:t>
      </w:r>
      <w:r>
        <w:rPr>
          <w:rFonts w:hint="eastAsia" w:ascii="宋体" w:hAnsi="宋体"/>
          <w:bCs/>
        </w:rPr>
        <w:t>氛围。</w:t>
      </w:r>
    </w:p>
    <w:p>
      <w:pPr>
        <w:pStyle w:val="6"/>
        <w:ind w:firstLine="640"/>
        <w:rPr>
          <w:rFonts w:ascii="宋体" w:hAnsi="宋体"/>
        </w:rPr>
      </w:pPr>
      <w:r>
        <w:rPr>
          <w:rFonts w:hint="eastAsia" w:ascii="黑体" w:hAnsi="宋体" w:eastAsia="黑体"/>
        </w:rPr>
        <w:t>六、完成我省“全国创新争先奖”推荐后续工作。</w:t>
      </w:r>
      <w:r>
        <w:rPr>
          <w:rFonts w:hint="eastAsia" w:ascii="宋体" w:hAnsi="宋体"/>
        </w:rPr>
        <w:t>根据《人力资源社会保障部 中国科协 科技部 国务院国资委关于评选全国创新争先奖的通知》（人社部函〔2017〕47号）要求，</w:t>
      </w:r>
      <w:r>
        <w:rPr>
          <w:rFonts w:hint="eastAsia" w:ascii="宋体" w:hAnsi="宋体"/>
          <w:bCs/>
        </w:rPr>
        <w:t>4月下旬，</w:t>
      </w:r>
      <w:r>
        <w:rPr>
          <w:rFonts w:hint="eastAsia" w:ascii="宋体" w:hAnsi="宋体"/>
        </w:rPr>
        <w:t>省科协、省人社厅、省科技厅、省政府国资委联合组织了云南省“全国创新争先奖”的推选工作，</w:t>
      </w:r>
      <w:r>
        <w:rPr>
          <w:rFonts w:hint="eastAsia" w:ascii="宋体" w:hAnsi="宋体"/>
          <w:bCs/>
        </w:rPr>
        <w:t>推荐出</w:t>
      </w:r>
      <w:r>
        <w:rPr>
          <w:rFonts w:hint="eastAsia" w:ascii="宋体" w:hAnsi="宋体"/>
        </w:rPr>
        <w:t>朱兆云等12名先进个人、云南玉米遗传育种创新团队等2个先进集体上报全国创新争先奖评选推荐委员会。下一步省科协、省科技厅将继续关注此项工作，根据国家四部委的新要求抓好落实。全国评选结果出来后，邀请省委、省政府有关领导对我省获奖个人和团队颁奖和走访慰问。</w:t>
      </w:r>
    </w:p>
    <w:p>
      <w:pPr>
        <w:pStyle w:val="6"/>
        <w:ind w:firstLine="640"/>
        <w:rPr>
          <w:rFonts w:ascii="宋体" w:hAnsi="宋体"/>
        </w:rPr>
      </w:pPr>
    </w:p>
    <w:p>
      <w:pPr>
        <w:pStyle w:val="6"/>
        <w:ind w:firstLine="640"/>
        <w:rPr>
          <w:rFonts w:ascii="宋体" w:hAnsi="宋体"/>
        </w:rPr>
      </w:pPr>
    </w:p>
    <w:p>
      <w:pPr>
        <w:pStyle w:val="6"/>
        <w:ind w:firstLine="640"/>
        <w:rPr>
          <w:rFonts w:ascii="宋体" w:hAnsi="宋体"/>
        </w:rPr>
      </w:pPr>
    </w:p>
    <w:p>
      <w:pPr>
        <w:pStyle w:val="6"/>
        <w:ind w:firstLine="640"/>
        <w:rPr>
          <w:rFonts w:ascii="宋体" w:hAnsi="宋体"/>
        </w:rPr>
      </w:pPr>
    </w:p>
    <w:p>
      <w:pPr>
        <w:pStyle w:val="6"/>
        <w:ind w:firstLine="640"/>
        <w:rPr>
          <w:rFonts w:ascii="宋体" w:hAnsi="宋体"/>
        </w:rPr>
      </w:pPr>
    </w:p>
    <w:p>
      <w:pPr>
        <w:pStyle w:val="6"/>
        <w:pBdr>
          <w:top w:val="single" w:color="auto" w:sz="6" w:space="0"/>
          <w:bottom w:val="single" w:color="auto" w:sz="6" w:space="0"/>
        </w:pBdr>
        <w:ind w:firstLine="320" w:firstLineChars="100"/>
        <w:rPr>
          <w:rFonts w:ascii="宋体" w:hAnsi="宋体"/>
          <w:sz w:val="28"/>
          <w:szCs w:val="28"/>
        </w:rPr>
      </w:pP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319405</wp:posOffset>
                </wp:positionV>
                <wp:extent cx="1980565" cy="82931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0565" cy="829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>
                            <w:r>
                              <w:drawing>
                                <wp:inline distT="0" distB="0" distL="114300" distR="114300">
                                  <wp:extent cx="1799590" cy="533400"/>
                                  <wp:effectExtent l="0" t="0" r="10160" b="0"/>
                                  <wp:docPr id="1" name="图片 1" descr="labelocxtemp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labelocxtemp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99590" cy="533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none" lIns="90043" tIns="46863" rIns="90043" bIns="46863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7.5pt;margin-top:25.15pt;height:65.3pt;width:155.95pt;mso-wrap-style:none;z-index:-251658240;mso-width-relative:page;mso-height-relative:page;" filled="f" stroked="f" coordsize="21600,21600" o:gfxdata="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ABjVce1AAAAAoBAAAPAAAAAAAAAAEAIAAAACIAAABkcnMvZG93bnJldi54&#10;bWxQSwECFAAUAAAACACHTuJAdhwZpMUBAABjAwAADgAAAAAAAAABACAAAAAjAQAAZHJzL2Uyb0Rv&#10;Yy54bWxQSwUGAAAAAAYABgBZAQAAWgUAAAAA&#10;">
                <v:path/>
                <v:fill on="f" focussize="0,0"/>
                <v:stroke on="f"/>
                <v:imagedata o:title=""/>
                <o:lock v:ext="edit" aspectratio="f"/>
                <v:textbox inset="7.09pt,1.30175mm,7.09pt,1.30175mm" style="mso-fit-shape-to-text:t;">
                  <w:txbxContent>
                    <w:p>
                      <w:r>
                        <w:drawing>
                          <wp:inline distT="0" distB="0" distL="114300" distR="114300">
                            <wp:extent cx="1799590" cy="533400"/>
                            <wp:effectExtent l="0" t="0" r="10160" b="0"/>
                            <wp:docPr id="1" name="图片 1" descr="labelocxtemp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图片 1" descr="labelocxtemp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99590" cy="533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sz w:val="28"/>
          <w:szCs w:val="28"/>
        </w:rPr>
        <w:t>云南省科学技术协会办公室　　            2017年5月10日印发</w:t>
      </w:r>
    </w:p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2098" w:right="1531" w:bottom="1985" w:left="1531" w:header="1418" w:footer="1418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right="210" w:rightChars="100"/>
      <w:jc w:val="right"/>
      <w:rPr>
        <w:rFonts w:ascii="Times New Roman" w:hAnsi="Times New Roman"/>
        <w:sz w:val="28"/>
      </w:rPr>
    </w:pPr>
    <w:r>
      <w:rPr>
        <w:rFonts w:hint="eastAsia" w:ascii="Times New Roman" w:hAnsi="Times New Roman"/>
        <w:sz w:val="28"/>
        <w:szCs w:val="21"/>
      </w:rPr>
      <w:t>—</w:t>
    </w:r>
    <w:r>
      <w:rPr>
        <w:rFonts w:ascii="Times New Roman" w:hAnsi="Times New Roman"/>
        <w:sz w:val="28"/>
        <w:szCs w:val="21"/>
      </w:rPr>
      <w:t xml:space="preserve"> </w:t>
    </w:r>
    <w:r>
      <w:rPr>
        <w:rFonts w:ascii="Times New Roman" w:hAnsi="Times New Roman"/>
        <w:sz w:val="28"/>
        <w:szCs w:val="21"/>
      </w:rPr>
      <w:fldChar w:fldCharType="begin"/>
    </w:r>
    <w:r>
      <w:rPr>
        <w:rFonts w:ascii="Times New Roman" w:hAnsi="Times New Roman"/>
        <w:sz w:val="28"/>
        <w:szCs w:val="21"/>
      </w:rPr>
      <w:instrText xml:space="preserve"> PAGE </w:instrText>
    </w:r>
    <w:r>
      <w:rPr>
        <w:rFonts w:ascii="Times New Roman" w:hAnsi="Times New Roman"/>
        <w:sz w:val="28"/>
        <w:szCs w:val="21"/>
      </w:rPr>
      <w:fldChar w:fldCharType="separate"/>
    </w:r>
    <w:r>
      <w:rPr>
        <w:rFonts w:ascii="Times New Roman" w:hAnsi="Times New Roman"/>
        <w:sz w:val="28"/>
        <w:szCs w:val="21"/>
      </w:rPr>
      <w:t>1</w:t>
    </w:r>
    <w:r>
      <w:rPr>
        <w:rFonts w:ascii="Times New Roman" w:hAnsi="Times New Roman"/>
        <w:sz w:val="28"/>
        <w:szCs w:val="21"/>
      </w:rPr>
      <w:fldChar w:fldCharType="end"/>
    </w:r>
    <w:r>
      <w:rPr>
        <w:rFonts w:ascii="Times New Roman" w:hAnsi="Times New Roman"/>
        <w:sz w:val="28"/>
        <w:szCs w:val="21"/>
      </w:rPr>
      <w:t xml:space="preserve"> </w:t>
    </w:r>
    <w:r>
      <w:rPr>
        <w:rFonts w:hint="eastAsia" w:ascii="Times New Roman" w:hAnsi="Times New Roman"/>
        <w:sz w:val="28"/>
        <w:szCs w:val="21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210" w:leftChars="100"/>
      <w:rPr>
        <w:rFonts w:ascii="Times New Roman" w:hAnsi="Times New Roman"/>
        <w:sz w:val="28"/>
      </w:rPr>
    </w:pPr>
    <w:r>
      <w:rPr>
        <w:rFonts w:hint="eastAsia" w:ascii="Times New Roman" w:hAnsi="Times New Roman"/>
        <w:sz w:val="28"/>
        <w:szCs w:val="21"/>
      </w:rPr>
      <w:t>—</w:t>
    </w:r>
    <w:r>
      <w:rPr>
        <w:rFonts w:ascii="Times New Roman" w:hAnsi="Times New Roman"/>
        <w:sz w:val="28"/>
        <w:szCs w:val="21"/>
      </w:rPr>
      <w:t xml:space="preserve"> </w:t>
    </w:r>
    <w:r>
      <w:rPr>
        <w:rFonts w:ascii="Times New Roman" w:hAnsi="Times New Roman"/>
        <w:sz w:val="28"/>
        <w:szCs w:val="21"/>
      </w:rPr>
      <w:fldChar w:fldCharType="begin"/>
    </w:r>
    <w:r>
      <w:rPr>
        <w:rFonts w:ascii="Times New Roman" w:hAnsi="Times New Roman"/>
        <w:sz w:val="28"/>
        <w:szCs w:val="21"/>
      </w:rPr>
      <w:instrText xml:space="preserve"> PAGE </w:instrText>
    </w:r>
    <w:r>
      <w:rPr>
        <w:rFonts w:ascii="Times New Roman" w:hAnsi="Times New Roman"/>
        <w:sz w:val="28"/>
        <w:szCs w:val="21"/>
      </w:rPr>
      <w:fldChar w:fldCharType="separate"/>
    </w:r>
    <w:r>
      <w:rPr>
        <w:rFonts w:ascii="Times New Roman" w:hAnsi="Times New Roman"/>
        <w:sz w:val="28"/>
        <w:szCs w:val="21"/>
      </w:rPr>
      <w:t>12</w:t>
    </w:r>
    <w:r>
      <w:rPr>
        <w:rFonts w:ascii="Times New Roman" w:hAnsi="Times New Roman"/>
        <w:sz w:val="28"/>
        <w:szCs w:val="21"/>
      </w:rPr>
      <w:fldChar w:fldCharType="end"/>
    </w:r>
    <w:r>
      <w:rPr>
        <w:rFonts w:ascii="Times New Roman" w:hAnsi="Times New Roman"/>
        <w:sz w:val="28"/>
        <w:szCs w:val="21"/>
      </w:rPr>
      <w:t xml:space="preserve"> </w:t>
    </w:r>
    <w:r>
      <w:rPr>
        <w:rFonts w:hint="eastAsia" w:ascii="Times New Roman" w:hAnsi="Times New Roman"/>
        <w:sz w:val="28"/>
        <w:szCs w:val="21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D461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6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华文仿宋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2017-05-11T03:20:43Z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