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spacing w:before="156" w:beforeLines="50" w:after="156" w:afterLines="50"/>
        <w:jc w:val="center"/>
        <w:rPr>
          <w:rFonts w:hint="eastAsia" w:ascii="文鼎CS大宋" w:hAnsi="宋体" w:eastAsia="文鼎CS大宋" w:cs="宋体"/>
          <w:kern w:val="0"/>
          <w:sz w:val="44"/>
          <w:szCs w:val="44"/>
        </w:rPr>
      </w:pPr>
      <w:r>
        <w:rPr>
          <w:rFonts w:hint="eastAsia" w:ascii="文鼎CS大宋" w:hAnsi="宋体" w:eastAsia="文鼎CS大宋" w:cs="宋体"/>
          <w:kern w:val="0"/>
          <w:sz w:val="44"/>
          <w:szCs w:val="44"/>
        </w:rPr>
        <w:t>项目绩效评价指标体系及评分表</w:t>
      </w:r>
    </w:p>
    <w:tbl>
      <w:tblPr>
        <w:tblStyle w:val="3"/>
        <w:tblW w:w="8420" w:type="dxa"/>
        <w:tblInd w:w="0" w:type="dxa"/>
        <w:tblLayout w:type="fixed"/>
        <w:tblCellMar>
          <w:top w:w="0" w:type="dxa"/>
          <w:left w:w="57" w:type="dxa"/>
          <w:bottom w:w="0" w:type="dxa"/>
          <w:right w:w="57" w:type="dxa"/>
        </w:tblCellMar>
      </w:tblPr>
      <w:tblGrid>
        <w:gridCol w:w="671"/>
        <w:gridCol w:w="674"/>
        <w:gridCol w:w="1472"/>
        <w:gridCol w:w="657"/>
        <w:gridCol w:w="3816"/>
        <w:gridCol w:w="566"/>
        <w:gridCol w:w="564"/>
      </w:tblGrid>
      <w:tr>
        <w:tblPrEx>
          <w:tblLayout w:type="fixed"/>
          <w:tblCellMar>
            <w:top w:w="0" w:type="dxa"/>
            <w:left w:w="57" w:type="dxa"/>
            <w:bottom w:w="0" w:type="dxa"/>
            <w:right w:w="57" w:type="dxa"/>
          </w:tblCellMar>
        </w:tblPrEx>
        <w:trPr>
          <w:trHeight w:val="680" w:hRule="atLeast"/>
          <w:tblHeader/>
        </w:trPr>
        <w:tc>
          <w:tcPr>
            <w:tcW w:w="67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jc w:val="center"/>
              <w:rPr>
                <w:rFonts w:hint="eastAsia" w:ascii="宋体" w:hAnsi="宋体"/>
                <w:b/>
                <w:bCs/>
                <w:kern w:val="0"/>
                <w:sz w:val="20"/>
                <w:szCs w:val="20"/>
              </w:rPr>
            </w:pPr>
            <w:r>
              <w:rPr>
                <w:rFonts w:ascii="宋体" w:hAnsi="宋体"/>
                <w:b/>
                <w:bCs/>
                <w:kern w:val="0"/>
                <w:sz w:val="20"/>
                <w:szCs w:val="20"/>
              </w:rPr>
              <w:t>一级</w:t>
            </w:r>
          </w:p>
          <w:p>
            <w:pPr>
              <w:widowControl/>
              <w:snapToGrid w:val="0"/>
              <w:jc w:val="center"/>
              <w:rPr>
                <w:rFonts w:ascii="宋体" w:hAnsi="宋体"/>
                <w:b/>
                <w:bCs/>
                <w:kern w:val="0"/>
                <w:sz w:val="20"/>
                <w:szCs w:val="20"/>
              </w:rPr>
            </w:pPr>
            <w:r>
              <w:rPr>
                <w:rFonts w:ascii="宋体" w:hAnsi="宋体"/>
                <w:b/>
                <w:bCs/>
                <w:kern w:val="0"/>
                <w:sz w:val="20"/>
                <w:szCs w:val="20"/>
              </w:rPr>
              <w:t>指标</w:t>
            </w:r>
          </w:p>
        </w:tc>
        <w:tc>
          <w:tcPr>
            <w:tcW w:w="67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jc w:val="center"/>
              <w:rPr>
                <w:rFonts w:hint="eastAsia" w:ascii="宋体" w:hAnsi="宋体"/>
                <w:b/>
                <w:bCs/>
                <w:kern w:val="0"/>
                <w:sz w:val="20"/>
                <w:szCs w:val="20"/>
              </w:rPr>
            </w:pPr>
            <w:r>
              <w:rPr>
                <w:rFonts w:ascii="宋体" w:hAnsi="宋体"/>
                <w:b/>
                <w:bCs/>
                <w:kern w:val="0"/>
                <w:sz w:val="20"/>
                <w:szCs w:val="20"/>
              </w:rPr>
              <w:t>二级</w:t>
            </w:r>
          </w:p>
          <w:p>
            <w:pPr>
              <w:widowControl/>
              <w:snapToGrid w:val="0"/>
              <w:jc w:val="center"/>
              <w:rPr>
                <w:rFonts w:ascii="宋体" w:hAnsi="宋体"/>
                <w:b/>
                <w:bCs/>
                <w:kern w:val="0"/>
                <w:sz w:val="20"/>
                <w:szCs w:val="20"/>
              </w:rPr>
            </w:pPr>
            <w:r>
              <w:rPr>
                <w:rFonts w:ascii="宋体" w:hAnsi="宋体"/>
                <w:b/>
                <w:bCs/>
                <w:kern w:val="0"/>
                <w:sz w:val="20"/>
                <w:szCs w:val="20"/>
              </w:rPr>
              <w:t>指标</w:t>
            </w:r>
          </w:p>
        </w:tc>
        <w:tc>
          <w:tcPr>
            <w:tcW w:w="147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jc w:val="center"/>
              <w:rPr>
                <w:rFonts w:ascii="宋体" w:hAnsi="宋体"/>
                <w:b/>
                <w:bCs/>
                <w:kern w:val="0"/>
                <w:sz w:val="20"/>
                <w:szCs w:val="20"/>
              </w:rPr>
            </w:pPr>
            <w:r>
              <w:rPr>
                <w:rFonts w:ascii="宋体" w:hAnsi="宋体"/>
                <w:b/>
                <w:bCs/>
                <w:kern w:val="0"/>
                <w:sz w:val="20"/>
                <w:szCs w:val="20"/>
              </w:rPr>
              <w:t>三级指标</w:t>
            </w:r>
          </w:p>
        </w:tc>
        <w:tc>
          <w:tcPr>
            <w:tcW w:w="65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snapToGrid w:val="0"/>
              <w:jc w:val="center"/>
              <w:rPr>
                <w:rFonts w:hint="eastAsia" w:ascii="宋体" w:hAnsi="宋体"/>
                <w:b/>
                <w:bCs/>
                <w:kern w:val="0"/>
                <w:sz w:val="20"/>
                <w:szCs w:val="20"/>
              </w:rPr>
            </w:pPr>
            <w:r>
              <w:rPr>
                <w:rFonts w:ascii="宋体" w:hAnsi="宋体"/>
                <w:b/>
                <w:bCs/>
                <w:kern w:val="0"/>
                <w:sz w:val="20"/>
                <w:szCs w:val="20"/>
              </w:rPr>
              <w:t>标准</w:t>
            </w:r>
          </w:p>
          <w:p>
            <w:pPr>
              <w:widowControl/>
              <w:snapToGrid w:val="0"/>
              <w:jc w:val="center"/>
              <w:rPr>
                <w:rFonts w:ascii="宋体" w:hAnsi="宋体"/>
                <w:b/>
                <w:bCs/>
                <w:kern w:val="0"/>
                <w:sz w:val="20"/>
                <w:szCs w:val="20"/>
              </w:rPr>
            </w:pPr>
            <w:r>
              <w:rPr>
                <w:rFonts w:ascii="宋体" w:hAnsi="宋体"/>
                <w:b/>
                <w:bCs/>
                <w:kern w:val="0"/>
                <w:sz w:val="20"/>
                <w:szCs w:val="20"/>
              </w:rPr>
              <w:t>分值</w:t>
            </w:r>
          </w:p>
        </w:tc>
        <w:tc>
          <w:tcPr>
            <w:tcW w:w="3816"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b/>
                <w:bCs/>
                <w:color w:val="000000"/>
                <w:kern w:val="0"/>
                <w:sz w:val="20"/>
                <w:szCs w:val="20"/>
              </w:rPr>
            </w:pPr>
            <w:r>
              <w:rPr>
                <w:rFonts w:hint="eastAsia" w:ascii="宋体" w:hAnsi="宋体" w:cs="宋体"/>
                <w:b/>
                <w:bCs/>
                <w:kern w:val="0"/>
                <w:sz w:val="20"/>
                <w:szCs w:val="20"/>
              </w:rPr>
              <w:t>指标说明</w:t>
            </w:r>
          </w:p>
        </w:tc>
        <w:tc>
          <w:tcPr>
            <w:tcW w:w="566"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b/>
                <w:bCs/>
                <w:kern w:val="0"/>
                <w:sz w:val="20"/>
                <w:szCs w:val="20"/>
              </w:rPr>
            </w:pPr>
            <w:r>
              <w:rPr>
                <w:rFonts w:hint="eastAsia" w:ascii="宋体" w:hAnsi="宋体"/>
                <w:b/>
                <w:bCs/>
                <w:kern w:val="0"/>
                <w:sz w:val="20"/>
                <w:szCs w:val="20"/>
              </w:rPr>
              <w:t>自评</w:t>
            </w:r>
          </w:p>
          <w:p>
            <w:pPr>
              <w:widowControl/>
              <w:snapToGrid w:val="0"/>
              <w:jc w:val="center"/>
              <w:rPr>
                <w:rFonts w:ascii="宋体" w:hAnsi="宋体"/>
                <w:b/>
                <w:bCs/>
                <w:color w:val="000000"/>
                <w:kern w:val="0"/>
                <w:sz w:val="20"/>
                <w:szCs w:val="20"/>
              </w:rPr>
            </w:pPr>
            <w:r>
              <w:rPr>
                <w:rFonts w:ascii="宋体" w:hAnsi="宋体"/>
                <w:b/>
                <w:bCs/>
                <w:color w:val="000000"/>
                <w:kern w:val="0"/>
                <w:sz w:val="20"/>
                <w:szCs w:val="20"/>
              </w:rPr>
              <w:t>得分</w:t>
            </w:r>
          </w:p>
        </w:tc>
        <w:tc>
          <w:tcPr>
            <w:tcW w:w="564" w:type="dxa"/>
            <w:tcBorders>
              <w:top w:val="single" w:color="auto" w:sz="4" w:space="0"/>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b/>
                <w:bCs/>
                <w:color w:val="000000"/>
                <w:kern w:val="0"/>
                <w:sz w:val="20"/>
                <w:szCs w:val="20"/>
              </w:rPr>
            </w:pPr>
            <w:r>
              <w:rPr>
                <w:rFonts w:hint="eastAsia" w:ascii="宋体" w:hAnsi="宋体"/>
                <w:b/>
                <w:bCs/>
                <w:color w:val="000000"/>
                <w:kern w:val="0"/>
                <w:sz w:val="20"/>
                <w:szCs w:val="20"/>
              </w:rPr>
              <w:t>评定</w:t>
            </w:r>
          </w:p>
          <w:p>
            <w:pPr>
              <w:widowControl/>
              <w:snapToGrid w:val="0"/>
              <w:jc w:val="center"/>
              <w:rPr>
                <w:rFonts w:ascii="宋体" w:hAnsi="宋体"/>
                <w:b/>
                <w:bCs/>
                <w:color w:val="000000"/>
                <w:kern w:val="0"/>
                <w:sz w:val="20"/>
                <w:szCs w:val="20"/>
              </w:rPr>
            </w:pPr>
            <w:r>
              <w:rPr>
                <w:rFonts w:hint="eastAsia" w:ascii="宋体" w:hAnsi="宋体"/>
                <w:b/>
                <w:bCs/>
                <w:color w:val="000000"/>
                <w:kern w:val="0"/>
                <w:sz w:val="20"/>
                <w:szCs w:val="20"/>
              </w:rPr>
              <w:t>分数</w:t>
            </w:r>
          </w:p>
        </w:tc>
      </w:tr>
      <w:tr>
        <w:tblPrEx>
          <w:tblLayout w:type="fixed"/>
          <w:tblCellMar>
            <w:top w:w="0" w:type="dxa"/>
            <w:left w:w="57" w:type="dxa"/>
            <w:bottom w:w="0" w:type="dxa"/>
            <w:right w:w="57" w:type="dxa"/>
          </w:tblCellMar>
        </w:tblPrEx>
        <w:trPr>
          <w:trHeight w:val="680" w:hRule="atLeast"/>
        </w:trPr>
        <w:tc>
          <w:tcPr>
            <w:tcW w:w="671" w:type="dxa"/>
            <w:vMerge w:val="restart"/>
            <w:tcBorders>
              <w:top w:val="nil"/>
              <w:left w:val="single" w:color="auto" w:sz="4" w:space="0"/>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投入（20分）</w:t>
            </w:r>
          </w:p>
        </w:tc>
        <w:tc>
          <w:tcPr>
            <w:tcW w:w="674"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项目立项（15分）</w:t>
            </w: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项目立项规范性</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5</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评价要点：</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①项目是否按照规定的程序申请设立；</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②所提交的文件、材料是否符合相关要求；</w:t>
            </w:r>
          </w:p>
          <w:p>
            <w:pPr>
              <w:widowControl/>
              <w:snapToGrid w:val="0"/>
              <w:jc w:val="left"/>
              <w:rPr>
                <w:rFonts w:ascii="宋体" w:hAnsi="宋体" w:cs="宋体"/>
                <w:kern w:val="0"/>
                <w:sz w:val="20"/>
                <w:szCs w:val="20"/>
              </w:rPr>
            </w:pPr>
            <w:r>
              <w:rPr>
                <w:rFonts w:hint="eastAsia" w:ascii="宋体" w:hAnsi="宋体" w:cs="宋体"/>
                <w:kern w:val="0"/>
                <w:sz w:val="20"/>
                <w:szCs w:val="20"/>
              </w:rPr>
              <w:t>③事前是否已经过必要的可行性研究、专家论证、风险评估、集体决策等。</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绩效目标合理性</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5</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评价要点：</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①是否符合国家相关法律法规、国民经济发展规划和党委政府决策；</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②是否与项目实施单位或委托单位职责密切相关；</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③项目是否为促进事业发展所必需；</w:t>
            </w:r>
          </w:p>
          <w:p>
            <w:pPr>
              <w:widowControl/>
              <w:snapToGrid w:val="0"/>
              <w:jc w:val="left"/>
              <w:rPr>
                <w:rFonts w:ascii="宋体" w:hAnsi="宋体" w:cs="宋体"/>
                <w:kern w:val="0"/>
                <w:sz w:val="20"/>
                <w:szCs w:val="20"/>
              </w:rPr>
            </w:pPr>
            <w:r>
              <w:rPr>
                <w:rFonts w:hint="eastAsia" w:ascii="宋体" w:hAnsi="宋体" w:cs="宋体"/>
                <w:kern w:val="0"/>
                <w:sz w:val="20"/>
                <w:szCs w:val="20"/>
              </w:rPr>
              <w:t>④项目预期产出效益和效果是否符合正常的业绩水平。</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绩效指标明确性</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5</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评价要点：</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①是否将项目绩效目标细化分解为具体的绩效指标；</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②是否通过清晰、可衡量的指标值予以体现；</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③是否与项目年度任务数或计划数相对应；</w:t>
            </w:r>
          </w:p>
          <w:p>
            <w:pPr>
              <w:widowControl/>
              <w:snapToGrid w:val="0"/>
              <w:jc w:val="left"/>
              <w:rPr>
                <w:rFonts w:ascii="宋体" w:hAnsi="宋体" w:cs="宋体"/>
                <w:kern w:val="0"/>
                <w:sz w:val="20"/>
                <w:szCs w:val="20"/>
              </w:rPr>
            </w:pPr>
            <w:r>
              <w:rPr>
                <w:rFonts w:hint="eastAsia" w:ascii="宋体" w:hAnsi="宋体" w:cs="宋体"/>
                <w:kern w:val="0"/>
                <w:sz w:val="20"/>
                <w:szCs w:val="20"/>
              </w:rPr>
              <w:t>④是否与预算确定的项目投资额或资金量相匹配。</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资金落实（5分）</w:t>
            </w: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资金到位率</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4</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资金到位率＝（实际到位资金/计划投入资金）×100%。</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实际到位资金：一定时期（本年度或项目期）内实际落实到具体项目的资金。</w:t>
            </w:r>
          </w:p>
          <w:p>
            <w:pPr>
              <w:widowControl/>
              <w:snapToGrid w:val="0"/>
              <w:jc w:val="left"/>
              <w:rPr>
                <w:rFonts w:ascii="宋体" w:hAnsi="宋体" w:cs="宋体"/>
                <w:kern w:val="0"/>
                <w:sz w:val="20"/>
                <w:szCs w:val="20"/>
              </w:rPr>
            </w:pPr>
            <w:r>
              <w:rPr>
                <w:rFonts w:hint="eastAsia" w:ascii="宋体" w:hAnsi="宋体" w:cs="宋体"/>
                <w:kern w:val="0"/>
                <w:sz w:val="20"/>
                <w:szCs w:val="20"/>
              </w:rPr>
              <w:t>计划投入资金：一定时期（本年度或项目期）内计划投入到具体项目的资金。</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到位及时率</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1</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到位及时率＝（及时到位资金/应到位资金）×100%。</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及时到位资金：截至规定时点实际落实到具体项目的资金。</w:t>
            </w:r>
          </w:p>
          <w:p>
            <w:pPr>
              <w:widowControl/>
              <w:snapToGrid w:val="0"/>
              <w:jc w:val="left"/>
              <w:rPr>
                <w:rFonts w:ascii="宋体" w:hAnsi="宋体" w:cs="宋体"/>
                <w:kern w:val="0"/>
                <w:sz w:val="20"/>
                <w:szCs w:val="20"/>
              </w:rPr>
            </w:pPr>
            <w:r>
              <w:rPr>
                <w:rFonts w:hint="eastAsia" w:ascii="宋体" w:hAnsi="宋体" w:cs="宋体"/>
                <w:kern w:val="0"/>
                <w:sz w:val="20"/>
                <w:szCs w:val="20"/>
              </w:rPr>
              <w:t>应到位资金：按照合同或项目进度要求截至规定时点应落实到具体项目的资金。</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过程（30分）</w:t>
            </w:r>
          </w:p>
        </w:tc>
        <w:tc>
          <w:tcPr>
            <w:tcW w:w="674"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业务管理（20分）</w:t>
            </w: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管理制度健全性</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4</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评价要点：</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①是否已制定或具有相应的业务管理制度；</w:t>
            </w:r>
          </w:p>
          <w:p>
            <w:pPr>
              <w:widowControl/>
              <w:snapToGrid w:val="0"/>
              <w:jc w:val="left"/>
              <w:rPr>
                <w:rFonts w:ascii="宋体" w:hAnsi="宋体" w:cs="宋体"/>
                <w:kern w:val="0"/>
                <w:sz w:val="20"/>
                <w:szCs w:val="20"/>
              </w:rPr>
            </w:pPr>
            <w:r>
              <w:rPr>
                <w:rFonts w:hint="eastAsia" w:ascii="宋体" w:hAnsi="宋体" w:cs="宋体"/>
                <w:kern w:val="0"/>
                <w:sz w:val="20"/>
                <w:szCs w:val="20"/>
              </w:rPr>
              <w:t>②业务管理制度是否合法、合规、完整。</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制度执行有效性</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12</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评价要点：</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①是否遵守相关法律法规和业务管理规定；</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②项目调整及支出调整手续是否完备；</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③项目合同书、验收报告、技术鉴定等资料是否齐全并及时归档；</w:t>
            </w:r>
          </w:p>
          <w:p>
            <w:pPr>
              <w:widowControl/>
              <w:snapToGrid w:val="0"/>
              <w:jc w:val="left"/>
              <w:rPr>
                <w:rFonts w:ascii="宋体" w:hAnsi="宋体" w:cs="宋体"/>
                <w:kern w:val="0"/>
                <w:sz w:val="20"/>
                <w:szCs w:val="20"/>
              </w:rPr>
            </w:pPr>
            <w:r>
              <w:rPr>
                <w:rFonts w:hint="eastAsia" w:ascii="宋体" w:hAnsi="宋体" w:cs="宋体"/>
                <w:kern w:val="0"/>
                <w:sz w:val="20"/>
                <w:szCs w:val="20"/>
              </w:rPr>
              <w:t>④项目实施的人员条件、场地设备、信息支撑等是否落实到位。</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项目质量可控性</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4</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评价要点：</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①是否已制定或具有相应的项目质量要求或标准；</w:t>
            </w:r>
          </w:p>
          <w:p>
            <w:pPr>
              <w:widowControl/>
              <w:snapToGrid w:val="0"/>
              <w:jc w:val="left"/>
              <w:rPr>
                <w:rFonts w:ascii="宋体" w:hAnsi="宋体" w:cs="宋体"/>
                <w:kern w:val="0"/>
                <w:sz w:val="20"/>
                <w:szCs w:val="20"/>
              </w:rPr>
            </w:pPr>
            <w:r>
              <w:rPr>
                <w:rFonts w:hint="eastAsia" w:ascii="宋体" w:hAnsi="宋体" w:cs="宋体"/>
                <w:kern w:val="0"/>
                <w:sz w:val="20"/>
                <w:szCs w:val="20"/>
              </w:rPr>
              <w:t>②是否采取了相应的项目质量检查、验收等必需的控制措施或手段。</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财务管理（10分）</w:t>
            </w: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管理制度健全性</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4</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评价要点：</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①是否已制定或具有相应的项目资金管理办法；</w:t>
            </w:r>
          </w:p>
          <w:p>
            <w:pPr>
              <w:widowControl/>
              <w:snapToGrid w:val="0"/>
              <w:jc w:val="left"/>
              <w:rPr>
                <w:rFonts w:ascii="宋体" w:hAnsi="宋体" w:cs="宋体"/>
                <w:kern w:val="0"/>
                <w:sz w:val="20"/>
                <w:szCs w:val="20"/>
              </w:rPr>
            </w:pPr>
            <w:r>
              <w:rPr>
                <w:rFonts w:hint="eastAsia" w:ascii="宋体" w:hAnsi="宋体" w:cs="宋体"/>
                <w:kern w:val="0"/>
                <w:sz w:val="20"/>
                <w:szCs w:val="20"/>
              </w:rPr>
              <w:t>②项目资金管理办法是否符合相关财务会计制度的规定。</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资金使用合规性</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4</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评价要点：</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①是否符合国家财经法规和财务管理制度以及有关专项资金管理办法的规定；</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②资金的拨付是否有完整的审批程序和手续；</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③项目的重大开支是否经过评估认证；</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④是否符合项目预算批复或合同规定的用途；</w:t>
            </w:r>
          </w:p>
          <w:p>
            <w:pPr>
              <w:widowControl/>
              <w:snapToGrid w:val="0"/>
              <w:jc w:val="left"/>
              <w:rPr>
                <w:rFonts w:ascii="宋体" w:hAnsi="宋体" w:cs="宋体"/>
                <w:kern w:val="0"/>
                <w:sz w:val="20"/>
                <w:szCs w:val="20"/>
              </w:rPr>
            </w:pPr>
            <w:r>
              <w:rPr>
                <w:rFonts w:hint="eastAsia" w:ascii="宋体" w:hAnsi="宋体" w:cs="宋体"/>
                <w:kern w:val="0"/>
                <w:sz w:val="20"/>
                <w:szCs w:val="20"/>
              </w:rPr>
              <w:t>⑤是否存在截留、挤占、挪用、虚列支出等情况。</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财务监控有效性</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2</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评价要点：</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①是否已制定或具有相应的监控机制；</w:t>
            </w:r>
          </w:p>
          <w:p>
            <w:pPr>
              <w:widowControl/>
              <w:snapToGrid w:val="0"/>
              <w:jc w:val="left"/>
              <w:rPr>
                <w:rFonts w:ascii="宋体" w:hAnsi="宋体" w:cs="宋体"/>
                <w:kern w:val="0"/>
                <w:sz w:val="20"/>
                <w:szCs w:val="20"/>
              </w:rPr>
            </w:pPr>
            <w:r>
              <w:rPr>
                <w:rFonts w:hint="eastAsia" w:ascii="宋体" w:hAnsi="宋体" w:cs="宋体"/>
                <w:kern w:val="0"/>
                <w:sz w:val="20"/>
                <w:szCs w:val="20"/>
              </w:rPr>
              <w:t>②是否采取了相应的财务检查等必要的监控措施或手段。</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restart"/>
            <w:tcBorders>
              <w:top w:val="nil"/>
              <w:left w:val="single" w:color="auto" w:sz="4" w:space="0"/>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产出（30分）</w:t>
            </w:r>
          </w:p>
        </w:tc>
        <w:tc>
          <w:tcPr>
            <w:tcW w:w="674" w:type="dxa"/>
            <w:vMerge w:val="restart"/>
            <w:tcBorders>
              <w:top w:val="nil"/>
              <w:left w:val="single" w:color="auto" w:sz="4" w:space="0"/>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项目产出（30）</w:t>
            </w: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实际完成率</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20</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实际完成率＝（实际产出数/计划产出数）×100%。</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实际产出数：一定时期（本年度或项目期）内项目实际产出的产品或提供的服务数量。</w:t>
            </w:r>
          </w:p>
          <w:p>
            <w:pPr>
              <w:widowControl/>
              <w:snapToGrid w:val="0"/>
              <w:jc w:val="left"/>
              <w:rPr>
                <w:rFonts w:ascii="宋体" w:hAnsi="宋体" w:cs="宋体"/>
                <w:kern w:val="0"/>
                <w:sz w:val="20"/>
                <w:szCs w:val="20"/>
              </w:rPr>
            </w:pPr>
            <w:r>
              <w:rPr>
                <w:rFonts w:hint="eastAsia" w:ascii="宋体" w:hAnsi="宋体" w:cs="宋体"/>
                <w:kern w:val="0"/>
                <w:sz w:val="20"/>
                <w:szCs w:val="20"/>
              </w:rPr>
              <w:t>计划产出数：项目绩效目标确定的在一定时期（本年度或项目期）内计划产出的产品或提供的服务数量。</w:t>
            </w:r>
          </w:p>
        </w:tc>
        <w:tc>
          <w:tcPr>
            <w:tcW w:w="566" w:type="dxa"/>
            <w:vMerge w:val="restart"/>
            <w:tcBorders>
              <w:top w:val="nil"/>
              <w:left w:val="nil"/>
              <w:right w:val="single" w:color="auto" w:sz="4" w:space="0"/>
            </w:tcBorders>
            <w:shd w:val="clear" w:color="000000" w:fill="FFFFFF"/>
            <w:vAlign w:val="center"/>
          </w:tcPr>
          <w:p>
            <w:pPr>
              <w:snapToGrid w:val="0"/>
              <w:rPr>
                <w:rFonts w:ascii="宋体" w:hAnsi="宋体"/>
                <w:sz w:val="20"/>
                <w:szCs w:val="20"/>
              </w:rPr>
            </w:pPr>
          </w:p>
        </w:tc>
        <w:tc>
          <w:tcPr>
            <w:tcW w:w="564" w:type="dxa"/>
            <w:vMerge w:val="restart"/>
            <w:tcBorders>
              <w:top w:val="nil"/>
              <w:left w:val="nil"/>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680" w:hRule="atLeast"/>
        </w:trPr>
        <w:tc>
          <w:tcPr>
            <w:tcW w:w="671"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continue"/>
            <w:tcBorders>
              <w:top w:val="nil"/>
              <w:left w:val="single" w:color="auto" w:sz="4" w:space="0"/>
              <w:bottom w:val="single" w:color="auto"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完成及时率</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10</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hint="eastAsia" w:ascii="宋体" w:hAnsi="宋体" w:cs="宋体"/>
                <w:kern w:val="0"/>
                <w:sz w:val="20"/>
                <w:szCs w:val="20"/>
              </w:rPr>
            </w:pPr>
            <w:r>
              <w:rPr>
                <w:rFonts w:hint="eastAsia" w:ascii="宋体" w:hAnsi="宋体" w:cs="宋体"/>
                <w:kern w:val="0"/>
                <w:sz w:val="20"/>
                <w:szCs w:val="20"/>
              </w:rPr>
              <w:t>完成及时率＝[（计划完成时间－实际完成时间）/计划完成时间]×100%。</w:t>
            </w:r>
          </w:p>
          <w:p>
            <w:pPr>
              <w:widowControl/>
              <w:snapToGrid w:val="0"/>
              <w:jc w:val="left"/>
              <w:rPr>
                <w:rFonts w:hint="eastAsia" w:ascii="宋体" w:hAnsi="宋体" w:cs="宋体"/>
                <w:kern w:val="0"/>
                <w:sz w:val="20"/>
                <w:szCs w:val="20"/>
              </w:rPr>
            </w:pPr>
            <w:r>
              <w:rPr>
                <w:rFonts w:hint="eastAsia" w:ascii="宋体" w:hAnsi="宋体" w:cs="宋体"/>
                <w:kern w:val="0"/>
                <w:sz w:val="20"/>
                <w:szCs w:val="20"/>
              </w:rPr>
              <w:t>实际完成时间：项目实施单位完成该项目实际所耗用的时间。</w:t>
            </w:r>
          </w:p>
          <w:p>
            <w:pPr>
              <w:widowControl/>
              <w:snapToGrid w:val="0"/>
              <w:jc w:val="left"/>
              <w:rPr>
                <w:rFonts w:ascii="宋体" w:hAnsi="宋体" w:cs="宋体"/>
                <w:kern w:val="0"/>
                <w:sz w:val="20"/>
                <w:szCs w:val="20"/>
              </w:rPr>
            </w:pPr>
            <w:r>
              <w:rPr>
                <w:rFonts w:hint="eastAsia" w:ascii="宋体" w:hAnsi="宋体" w:cs="宋体"/>
                <w:kern w:val="0"/>
                <w:sz w:val="20"/>
                <w:szCs w:val="20"/>
              </w:rPr>
              <w:t>计划完成时间：按照项目实施计划或相关规定完成该项目所需的时间。</w:t>
            </w:r>
          </w:p>
        </w:tc>
        <w:tc>
          <w:tcPr>
            <w:tcW w:w="566" w:type="dxa"/>
            <w:vMerge w:val="continue"/>
            <w:tcBorders>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p>
        </w:tc>
        <w:tc>
          <w:tcPr>
            <w:tcW w:w="564" w:type="dxa"/>
            <w:vMerge w:val="continue"/>
            <w:tcBorders>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p>
        </w:tc>
      </w:tr>
      <w:tr>
        <w:tblPrEx>
          <w:tblLayout w:type="fixed"/>
          <w:tblCellMar>
            <w:top w:w="0" w:type="dxa"/>
            <w:left w:w="57" w:type="dxa"/>
            <w:bottom w:w="0" w:type="dxa"/>
            <w:right w:w="57" w:type="dxa"/>
          </w:tblCellMar>
        </w:tblPrEx>
        <w:trPr>
          <w:trHeight w:val="567" w:hRule="atLeast"/>
        </w:trPr>
        <w:tc>
          <w:tcPr>
            <w:tcW w:w="671"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效果（20分）</w:t>
            </w:r>
          </w:p>
        </w:tc>
        <w:tc>
          <w:tcPr>
            <w:tcW w:w="674"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项目效益（20分）</w:t>
            </w: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经济效益</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5</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cs="宋体"/>
                <w:kern w:val="0"/>
                <w:sz w:val="20"/>
                <w:szCs w:val="20"/>
              </w:rPr>
            </w:pPr>
            <w:r>
              <w:rPr>
                <w:rFonts w:hint="eastAsia" w:ascii="宋体" w:hAnsi="宋体" w:cs="宋体"/>
                <w:kern w:val="0"/>
                <w:sz w:val="20"/>
                <w:szCs w:val="20"/>
              </w:rPr>
              <w:t>通过科普示范和技术培训，项目促进当地（以项目覆盖到的最大行政区域作为测算单位）农民增收。</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567" w:hRule="atLeast"/>
        </w:trPr>
        <w:tc>
          <w:tcPr>
            <w:tcW w:w="67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公民科学素质提升</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5</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cs="宋体"/>
                <w:kern w:val="0"/>
                <w:sz w:val="20"/>
                <w:szCs w:val="20"/>
              </w:rPr>
            </w:pPr>
            <w:r>
              <w:rPr>
                <w:rFonts w:hint="eastAsia" w:ascii="宋体" w:hAnsi="宋体" w:cs="宋体"/>
                <w:kern w:val="0"/>
                <w:sz w:val="20"/>
                <w:szCs w:val="20"/>
              </w:rPr>
              <w:t>通过项目实施当地公民科学素质提升情况。</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567" w:hRule="atLeast"/>
        </w:trPr>
        <w:tc>
          <w:tcPr>
            <w:tcW w:w="67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云南省开展科普工作取得的成绩</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5</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cs="宋体"/>
                <w:kern w:val="0"/>
                <w:sz w:val="20"/>
                <w:szCs w:val="20"/>
              </w:rPr>
            </w:pPr>
            <w:r>
              <w:rPr>
                <w:rFonts w:hint="eastAsia" w:ascii="宋体" w:hAnsi="宋体" w:cs="宋体"/>
                <w:kern w:val="0"/>
                <w:sz w:val="20"/>
                <w:szCs w:val="20"/>
              </w:rPr>
              <w:t>通过云南省科技普及工作在行业内的认可度反映项目的完成效果。</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567" w:hRule="atLeast"/>
        </w:trPr>
        <w:tc>
          <w:tcPr>
            <w:tcW w:w="671"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674" w:type="dxa"/>
            <w:vMerge w:val="continue"/>
            <w:tcBorders>
              <w:top w:val="nil"/>
              <w:left w:val="single" w:color="auto" w:sz="4" w:space="0"/>
              <w:bottom w:val="single" w:color="000000" w:sz="4" w:space="0"/>
              <w:right w:val="single" w:color="auto" w:sz="4" w:space="0"/>
            </w:tcBorders>
            <w:shd w:val="clear" w:color="auto" w:fill="auto"/>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kern w:val="0"/>
                <w:sz w:val="20"/>
                <w:szCs w:val="20"/>
              </w:rPr>
            </w:pPr>
            <w:r>
              <w:rPr>
                <w:rFonts w:ascii="宋体" w:hAnsi="宋体"/>
                <w:kern w:val="0"/>
                <w:sz w:val="20"/>
                <w:szCs w:val="20"/>
              </w:rPr>
              <w:t>社会公众或服务对象满意度</w:t>
            </w: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5</w:t>
            </w:r>
          </w:p>
        </w:tc>
        <w:tc>
          <w:tcPr>
            <w:tcW w:w="3816" w:type="dxa"/>
            <w:tcBorders>
              <w:top w:val="nil"/>
              <w:left w:val="nil"/>
              <w:bottom w:val="single" w:color="auto" w:sz="4" w:space="0"/>
              <w:right w:val="single" w:color="auto" w:sz="4" w:space="0"/>
            </w:tcBorders>
            <w:shd w:val="clear" w:color="000000" w:fill="FFFFFF"/>
            <w:vAlign w:val="center"/>
          </w:tcPr>
          <w:p>
            <w:pPr>
              <w:widowControl/>
              <w:snapToGrid w:val="0"/>
              <w:jc w:val="left"/>
              <w:rPr>
                <w:rFonts w:ascii="宋体" w:hAnsi="宋体" w:cs="宋体"/>
                <w:kern w:val="0"/>
                <w:sz w:val="20"/>
                <w:szCs w:val="20"/>
              </w:rPr>
            </w:pPr>
            <w:r>
              <w:rPr>
                <w:rFonts w:hint="eastAsia" w:ascii="宋体" w:hAnsi="宋体" w:cs="宋体"/>
                <w:kern w:val="0"/>
                <w:sz w:val="20"/>
                <w:szCs w:val="20"/>
              </w:rPr>
              <w:t>参加各类科普活动、培训、讲座的受众满意度。</w:t>
            </w:r>
          </w:p>
        </w:tc>
        <w:tc>
          <w:tcPr>
            <w:tcW w:w="566"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snapToGrid w:val="0"/>
              <w:rPr>
                <w:rFonts w:ascii="宋体" w:hAnsi="宋体"/>
                <w:sz w:val="20"/>
                <w:szCs w:val="20"/>
              </w:rPr>
            </w:pPr>
          </w:p>
        </w:tc>
      </w:tr>
      <w:tr>
        <w:tblPrEx>
          <w:tblLayout w:type="fixed"/>
          <w:tblCellMar>
            <w:top w:w="0" w:type="dxa"/>
            <w:left w:w="57" w:type="dxa"/>
            <w:bottom w:w="0" w:type="dxa"/>
            <w:right w:w="57" w:type="dxa"/>
          </w:tblCellMar>
        </w:tblPrEx>
        <w:trPr>
          <w:trHeight w:val="567" w:hRule="atLeast"/>
        </w:trPr>
        <w:tc>
          <w:tcPr>
            <w:tcW w:w="671" w:type="dxa"/>
            <w:tcBorders>
              <w:top w:val="nil"/>
              <w:left w:val="single" w:color="auto" w:sz="4" w:space="0"/>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总分</w:t>
            </w:r>
          </w:p>
        </w:tc>
        <w:tc>
          <w:tcPr>
            <w:tcW w:w="674"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p>
        </w:tc>
        <w:tc>
          <w:tcPr>
            <w:tcW w:w="1472"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p>
        </w:tc>
        <w:tc>
          <w:tcPr>
            <w:tcW w:w="657"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r>
              <w:rPr>
                <w:rFonts w:ascii="宋体" w:hAnsi="宋体"/>
                <w:kern w:val="0"/>
                <w:sz w:val="20"/>
                <w:szCs w:val="20"/>
              </w:rPr>
              <w:t>100</w:t>
            </w:r>
          </w:p>
        </w:tc>
        <w:tc>
          <w:tcPr>
            <w:tcW w:w="3816" w:type="dxa"/>
            <w:tcBorders>
              <w:top w:val="nil"/>
              <w:left w:val="nil"/>
              <w:bottom w:val="single" w:color="auto" w:sz="4" w:space="0"/>
              <w:right w:val="single" w:color="auto" w:sz="4" w:space="0"/>
            </w:tcBorders>
            <w:shd w:val="clear" w:color="000000" w:fill="FFFFFF"/>
            <w:vAlign w:val="center"/>
          </w:tcPr>
          <w:p>
            <w:pPr>
              <w:snapToGrid w:val="0"/>
              <w:jc w:val="center"/>
              <w:rPr>
                <w:rFonts w:ascii="宋体" w:hAnsi="宋体"/>
                <w:color w:val="000000"/>
                <w:sz w:val="22"/>
              </w:rPr>
            </w:pPr>
          </w:p>
        </w:tc>
        <w:tc>
          <w:tcPr>
            <w:tcW w:w="566"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p>
        </w:tc>
        <w:tc>
          <w:tcPr>
            <w:tcW w:w="564" w:type="dxa"/>
            <w:tcBorders>
              <w:top w:val="nil"/>
              <w:left w:val="nil"/>
              <w:bottom w:val="single" w:color="auto" w:sz="4" w:space="0"/>
              <w:right w:val="single" w:color="auto" w:sz="4" w:space="0"/>
            </w:tcBorders>
            <w:shd w:val="clear" w:color="000000" w:fill="FFFFFF"/>
            <w:vAlign w:val="center"/>
          </w:tcPr>
          <w:p>
            <w:pPr>
              <w:widowControl/>
              <w:snapToGrid w:val="0"/>
              <w:jc w:val="center"/>
              <w:rPr>
                <w:rFonts w:ascii="宋体" w:hAnsi="宋体"/>
                <w:kern w:val="0"/>
                <w:sz w:val="20"/>
                <w:szCs w:val="20"/>
              </w:rPr>
            </w:pPr>
          </w:p>
        </w:tc>
      </w:tr>
    </w:tbl>
    <w:p>
      <w:pPr>
        <w:widowControl/>
        <w:shd w:val="clear" w:color="auto" w:fill="FFFFFF"/>
        <w:spacing w:line="532" w:lineRule="atLeast"/>
        <w:ind w:firstLine="600" w:firstLineChars="200"/>
        <w:jc w:val="left"/>
        <w:rPr>
          <w:rFonts w:ascii="仿宋_GB2312" w:hAnsi="华文中宋" w:eastAsia="仿宋_GB2312" w:cs="宋体"/>
          <w:color w:val="000000"/>
          <w:kern w:val="0"/>
          <w:sz w:val="30"/>
          <w:szCs w:val="30"/>
        </w:rPr>
      </w:pPr>
    </w:p>
    <w:p>
      <w:pPr/>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A0204"/>
    <w:charset w:val="00"/>
    <w:family w:val="swiss"/>
    <w:pitch w:val="default"/>
    <w:sig w:usb0="E10002FF" w:usb1="4000ACFF" w:usb2="00000009" w:usb3="00000000" w:csb0="2000019F" w:csb1="00000000"/>
  </w:font>
  <w:font w:name="Calibri">
    <w:panose1 w:val="020F05020202040A0204"/>
    <w:charset w:val="00"/>
    <w:family w:val="swiss"/>
    <w:pitch w:val="default"/>
    <w:sig w:usb0="E10002FF" w:usb1="4000ACFF" w:usb2="00000009" w:usb3="00000000" w:csb0="2000019F" w:csb1="00000000"/>
  </w:font>
  <w:font w:name="方正小标宋简体">
    <w:altName w:val="微软雅黑"/>
    <w:panose1 w:val="02010601030101010101"/>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黑体">
    <w:panose1 w:val="02010609060101010101"/>
    <w:charset w:val="86"/>
    <w:family w:val="modern"/>
    <w:pitch w:val="default"/>
    <w:sig w:usb0="800002BF" w:usb1="38CF7CFA" w:usb2="00000016" w:usb3="00000000" w:csb0="00040001" w:csb1="00000000"/>
  </w:font>
  <w:font w:name="文鼎CS大宋">
    <w:altName w:val="宋体"/>
    <w:panose1 w:val="0201060901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9F27D9"/>
    <w:rsid w:val="6D9F27D9"/>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Office_10.1.0.5559_F1E327BC-269C-435d-A152-05C5408002CA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2016-04-06T07:13:00Z</dcterms:created>
  <dc:creator>Administrator</dc:creator>
  <cp:lastModifiedBy>Administrator</cp:lastModifiedBy>
  <dcterms:modified xsi:type="dcterms:W3CDTF">2016-04-06T07:13:44Z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2052-10.1.0.5559</vt:lpwstr>
  </property>
</Properties>
</file>