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6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申请人须知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一、签字盖章：按格式要求在需要签章的地方进行签章，无需逐页签章。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二、投标保证金：本项目无需提交投标保证金。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三、报价要求：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zh-TW" w:eastAsia="zh-CN"/>
        </w:rPr>
        <w:t>竞选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报价采用下浮率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eastAsia="zh-CN"/>
        </w:rPr>
        <w:t>方式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报价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eastAsia="zh-CN"/>
        </w:rPr>
        <w:t>。（格式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自拟）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招标代理服务费以中标价为计费基数，按“云南省建设工程招标投标行业协会关于印发《云南省建设工程招标代理服务收费指导意见(试行)》的通知（云建招协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2023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51号）”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招标代理机构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计算后收取（注：云建招协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2023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51号规定不得恶意竞价，收费费率上下浮动≦20%）。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造价咨询服务（工程量清单及拦标价编制）费参照《云南省物价局关于调整建设工程造价咨询服务收费标准的通知》（云价综合〔2012〕66号）文件的规定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招标代理机构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计算后收取（注：为防止恶意竞价，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下浮率在10%-30%范围内（含10%和30%）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CN"/>
        </w:rPr>
        <w:t>评审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TW"/>
        </w:rPr>
        <w:t>基准价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=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TW"/>
        </w:rPr>
        <w:t>所有有效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CN"/>
        </w:rPr>
        <w:t>申请人的评审价的直接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TW"/>
        </w:rPr>
        <w:t>算术平均值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CN"/>
        </w:rPr>
        <w:t>（申请人评审价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=1-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CN"/>
        </w:rPr>
        <w:t>竞选报价）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四、评审办法：本项目采用综合评估打分法。主要从综合报价、人员配置、服务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经验（业绩）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、服务方案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违约责任承诺等方面进行综合评定，按综合总得分由高至低推荐3名中选人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其中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前两名为本项目代理服务机构，第3名为本项目备选代理服务机构。如遇综合总得分排名相同时则按服务方案得分由高至低，依次确定最终的顺序排名。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、申请人所提交及登记的信息必须真实有效；预留的手机、电话、Email需保持畅通；如因此原因所造成的一切后果，自行承担。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、重新比选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有下列情形之一的，建设单位将重新比选：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比选截止时间止，申请人少于3个的；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2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经评审专家评审后否决所有比选申请人的</w:t>
      </w:r>
    </w:p>
    <w:p/>
    <w:sectPr>
      <w:headerReference r:id="rId5" w:type="default"/>
      <w:footerReference r:id="rId6" w:type="default"/>
      <w:pgSz w:w="11906" w:h="16838"/>
      <w:pgMar w:top="1962" w:right="1474" w:bottom="1848" w:left="1587" w:header="851" w:footer="1049" w:gutter="0"/>
      <w:cols w:space="425" w:num="1"/>
      <w:docGrid w:type="linesAndChars" w:linePitch="592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rPr>
        <w:rFonts w:ascii="宋体" w:eastAsia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MjZmMzkxZWI1YjQzNmNjZDZmYmQ0OTBlYmY0MGQifQ=="/>
  </w:docVars>
  <w:rsids>
    <w:rsidRoot w:val="519B30CF"/>
    <w:rsid w:val="519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spacing w:line="240" w:lineRule="auto"/>
      <w:jc w:val="both"/>
    </w:pPr>
    <w:rPr>
      <w:rFonts w:ascii="Times New Roman" w:eastAsia="仿宋" w:cs="Times New Roman" w:hAnsiTheme="minorAscii"/>
      <w:spacing w:val="-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2024-08-19T04:31:00Z</dcterms:created>
  <dc:creator>乐凡</dc:creator>
  <cp:lastModifiedBy>乐凡</cp:lastModifiedBy>
  <dcterms:modified xsi:type="dcterms:W3CDTF">2024-08-19T04:32:02Z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AB9217AF16A5461BA5FEA81247A871E6_11</vt:lpwstr>
  </property>
</Properties>
</file>