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pStyle w:val="4"/>
        <w:spacing w:after="579" w:afterLines="100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云南省科学技术普及奖推荐名额分配表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90"/>
        <w:gridCol w:w="2043"/>
        <w:gridCol w:w="20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单位/州市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先进集体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先进个人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省级科素成员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及相关单位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4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省级学会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4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昆明市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昭通市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曲靖市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玉溪市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保山市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楚雄州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红河州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文山州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普洱市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西双版纳州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大理州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德宏州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丽江市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怒江州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迪庆州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临沧市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24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sz w:val="30"/>
                <w:szCs w:val="30"/>
              </w:rPr>
              <w:t>合　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sz w:val="30"/>
                <w:szCs w:val="30"/>
              </w:rPr>
              <w:t>15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sz w:val="30"/>
                <w:szCs w:val="30"/>
              </w:rPr>
              <w:t>30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24C7606E"/>
    <w:rsid w:val="24C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2022-11-10T03:14:00Z</dcterms:created>
  <dc:creator>阿花</dc:creator>
  <cp:lastModifiedBy>阿花</cp:lastModifiedBy>
  <dcterms:modified xsi:type="dcterms:W3CDTF">2022-11-10T03:14:50Z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162DFAC7EF114E22A7216CCEF6E977C5</vt:lpwstr>
  </property>
</Properties>
</file>